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6B30C9">
      <w:pPr>
        <w:pStyle w:val="7"/>
        <w:rPr>
          <w:rFonts w:hint="eastAsia" w:ascii="仿宋" w:hAnsi="仿宋" w:eastAsia="仿宋" w:cs="仿宋"/>
          <w:highlight w:val="none"/>
        </w:rPr>
      </w:pPr>
      <w:r>
        <w:rPr>
          <w:rFonts w:hint="eastAsia" w:ascii="仿宋" w:hAnsi="仿宋" w:eastAsia="仿宋" w:cs="仿宋"/>
          <w:highlight w:val="none"/>
        </w:rPr>
        <w:br w:type="textWrapping"/>
      </w:r>
    </w:p>
    <w:p w14:paraId="6F9D84A1">
      <w:pPr>
        <w:pStyle w:val="7"/>
        <w:rPr>
          <w:rFonts w:hint="eastAsia" w:ascii="仿宋" w:hAnsi="仿宋" w:eastAsia="仿宋" w:cs="仿宋"/>
          <w:highlight w:val="none"/>
        </w:rPr>
      </w:pPr>
    </w:p>
    <w:p w14:paraId="22561A58">
      <w:pPr>
        <w:pStyle w:val="7"/>
        <w:rPr>
          <w:rFonts w:hint="eastAsia" w:ascii="仿宋" w:hAnsi="仿宋" w:eastAsia="仿宋" w:cs="仿宋"/>
          <w:highlight w:val="none"/>
        </w:rPr>
      </w:pPr>
    </w:p>
    <w:p w14:paraId="69DDBE53">
      <w:pPr>
        <w:pStyle w:val="7"/>
        <w:rPr>
          <w:rFonts w:hint="eastAsia" w:ascii="仿宋" w:hAnsi="仿宋" w:eastAsia="仿宋" w:cs="仿宋"/>
          <w:highlight w:val="none"/>
        </w:rPr>
      </w:pPr>
    </w:p>
    <w:p w14:paraId="1554B1F0">
      <w:pPr>
        <w:pStyle w:val="7"/>
        <w:rPr>
          <w:rFonts w:hint="eastAsia" w:ascii="仿宋" w:hAnsi="仿宋" w:eastAsia="仿宋" w:cs="仿宋"/>
          <w:highlight w:val="none"/>
        </w:rPr>
      </w:pPr>
    </w:p>
    <w:p w14:paraId="54EDFBF7">
      <w:pPr>
        <w:pStyle w:val="7"/>
        <w:rPr>
          <w:rFonts w:hint="eastAsia" w:ascii="仿宋" w:hAnsi="仿宋" w:eastAsia="仿宋" w:cs="仿宋"/>
          <w:highlight w:val="none"/>
          <w:lang w:val="en-US"/>
        </w:rPr>
      </w:pPr>
    </w:p>
    <w:p w14:paraId="79A9647F">
      <w:pPr>
        <w:pStyle w:val="7"/>
        <w:jc w:val="center"/>
        <w:outlineLvl w:val="0"/>
        <w:rPr>
          <w:rFonts w:hint="eastAsia" w:ascii="仿宋" w:hAnsi="仿宋" w:eastAsia="仿宋" w:cs="仿宋"/>
          <w:sz w:val="22"/>
          <w:szCs w:val="22"/>
          <w:highlight w:val="none"/>
        </w:rPr>
      </w:pPr>
      <w:r>
        <w:rPr>
          <w:rFonts w:hint="eastAsia" w:ascii="仿宋" w:hAnsi="仿宋" w:eastAsia="仿宋" w:cs="仿宋"/>
          <w:b/>
          <w:sz w:val="56"/>
          <w:szCs w:val="22"/>
          <w:highlight w:val="none"/>
        </w:rPr>
        <w:t>福建省政府采购</w:t>
      </w:r>
    </w:p>
    <w:p w14:paraId="1FAB5C16">
      <w:pPr>
        <w:pStyle w:val="7"/>
        <w:jc w:val="center"/>
        <w:outlineLvl w:val="0"/>
        <w:rPr>
          <w:rFonts w:hint="eastAsia" w:ascii="仿宋" w:hAnsi="仿宋" w:eastAsia="仿宋" w:cs="仿宋"/>
          <w:sz w:val="22"/>
          <w:szCs w:val="22"/>
          <w:highlight w:val="none"/>
        </w:rPr>
      </w:pPr>
      <w:r>
        <w:rPr>
          <w:rFonts w:hint="eastAsia" w:ascii="仿宋" w:hAnsi="仿宋" w:eastAsia="仿宋" w:cs="仿宋"/>
          <w:b/>
          <w:sz w:val="56"/>
          <w:szCs w:val="22"/>
          <w:highlight w:val="none"/>
        </w:rPr>
        <w:t>货物和服务项目</w:t>
      </w:r>
    </w:p>
    <w:p w14:paraId="16A07CC5">
      <w:pPr>
        <w:pStyle w:val="7"/>
        <w:jc w:val="center"/>
        <w:outlineLvl w:val="0"/>
        <w:rPr>
          <w:rFonts w:hint="eastAsia" w:ascii="仿宋" w:hAnsi="仿宋" w:eastAsia="仿宋" w:cs="仿宋"/>
          <w:b/>
          <w:sz w:val="56"/>
          <w:szCs w:val="22"/>
          <w:highlight w:val="none"/>
        </w:rPr>
      </w:pPr>
      <w:r>
        <w:rPr>
          <w:rFonts w:hint="eastAsia" w:ascii="仿宋" w:hAnsi="仿宋" w:eastAsia="仿宋" w:cs="仿宋"/>
          <w:b/>
          <w:sz w:val="56"/>
          <w:szCs w:val="22"/>
          <w:highlight w:val="none"/>
        </w:rPr>
        <w:t>公开招标文件</w:t>
      </w:r>
    </w:p>
    <w:p w14:paraId="4E2F7FA8">
      <w:pPr>
        <w:pStyle w:val="7"/>
        <w:jc w:val="center"/>
        <w:outlineLvl w:val="0"/>
        <w:rPr>
          <w:rFonts w:hint="eastAsia" w:ascii="仿宋" w:hAnsi="仿宋" w:eastAsia="仿宋" w:cs="仿宋"/>
          <w:b/>
          <w:sz w:val="48"/>
          <w:highlight w:val="none"/>
        </w:rPr>
      </w:pPr>
    </w:p>
    <w:p w14:paraId="3F22E023">
      <w:pPr>
        <w:pStyle w:val="7"/>
        <w:jc w:val="both"/>
        <w:outlineLvl w:val="0"/>
        <w:rPr>
          <w:rFonts w:hint="eastAsia" w:ascii="仿宋" w:hAnsi="仿宋" w:eastAsia="仿宋" w:cs="仿宋"/>
          <w:b/>
          <w:sz w:val="48"/>
          <w:highlight w:val="none"/>
        </w:rPr>
      </w:pPr>
    </w:p>
    <w:p w14:paraId="4036F3FF">
      <w:pPr>
        <w:pStyle w:val="7"/>
        <w:jc w:val="both"/>
        <w:outlineLvl w:val="0"/>
        <w:rPr>
          <w:rFonts w:hint="eastAsia" w:ascii="仿宋" w:hAnsi="仿宋" w:eastAsia="仿宋" w:cs="仿宋"/>
          <w:b/>
          <w:sz w:val="48"/>
          <w:highlight w:val="none"/>
        </w:rPr>
      </w:pPr>
    </w:p>
    <w:p w14:paraId="2CEF5A7E">
      <w:pPr>
        <w:pStyle w:val="7"/>
        <w:jc w:val="left"/>
        <w:outlineLvl w:val="2"/>
        <w:rPr>
          <w:rFonts w:hint="eastAsia" w:ascii="仿宋" w:hAnsi="仿宋" w:eastAsia="仿宋" w:cs="仿宋"/>
          <w:highlight w:val="none"/>
          <w:lang w:eastAsia="zh-CN"/>
        </w:rPr>
      </w:pPr>
      <w:r>
        <w:rPr>
          <w:rFonts w:hint="eastAsia" w:ascii="仿宋" w:hAnsi="仿宋" w:eastAsia="仿宋" w:cs="仿宋"/>
          <w:b/>
          <w:sz w:val="28"/>
          <w:highlight w:val="none"/>
        </w:rPr>
        <w:t>项目名称：</w:t>
      </w:r>
      <w:r>
        <w:rPr>
          <w:rFonts w:hint="eastAsia" w:ascii="仿宋" w:hAnsi="仿宋" w:eastAsia="仿宋" w:cs="仿宋"/>
          <w:b/>
          <w:sz w:val="28"/>
          <w:highlight w:val="none"/>
          <w:lang w:eastAsia="zh-CN"/>
        </w:rPr>
        <w:t>国家心血管医学研究分中心医疗信息化智能化设备采购项目</w:t>
      </w:r>
    </w:p>
    <w:p w14:paraId="5D9D88F7">
      <w:pPr>
        <w:pStyle w:val="7"/>
        <w:jc w:val="left"/>
        <w:outlineLvl w:val="2"/>
        <w:rPr>
          <w:rFonts w:hint="eastAsia" w:ascii="仿宋" w:hAnsi="仿宋" w:eastAsia="仿宋" w:cs="仿宋"/>
          <w:highlight w:val="none"/>
          <w:lang w:eastAsia="zh-CN"/>
        </w:rPr>
      </w:pPr>
      <w:r>
        <w:rPr>
          <w:rFonts w:hint="eastAsia" w:ascii="仿宋" w:hAnsi="仿宋" w:eastAsia="仿宋" w:cs="仿宋"/>
          <w:b/>
          <w:sz w:val="28"/>
          <w:highlight w:val="none"/>
        </w:rPr>
        <w:t>备案编号：</w:t>
      </w:r>
      <w:r>
        <w:rPr>
          <w:rFonts w:hint="eastAsia" w:ascii="仿宋" w:hAnsi="仿宋" w:eastAsia="仿宋" w:cs="仿宋"/>
          <w:b/>
          <w:sz w:val="28"/>
          <w:highlight w:val="none"/>
          <w:lang w:eastAsia="zh-CN"/>
        </w:rPr>
        <w:t xml:space="preserve"> </w:t>
      </w:r>
    </w:p>
    <w:p w14:paraId="0212679E">
      <w:pPr>
        <w:pStyle w:val="7"/>
        <w:jc w:val="left"/>
        <w:outlineLvl w:val="2"/>
        <w:rPr>
          <w:rFonts w:hint="eastAsia" w:ascii="仿宋" w:hAnsi="仿宋" w:eastAsia="仿宋" w:cs="仿宋"/>
          <w:highlight w:val="none"/>
          <w:lang w:eastAsia="zh-CN"/>
        </w:rPr>
      </w:pPr>
      <w:r>
        <w:rPr>
          <w:rFonts w:hint="eastAsia" w:ascii="仿宋" w:hAnsi="仿宋" w:eastAsia="仿宋" w:cs="仿宋"/>
          <w:b/>
          <w:sz w:val="28"/>
          <w:highlight w:val="none"/>
        </w:rPr>
        <w:t>项目编号：</w:t>
      </w:r>
      <w:r>
        <w:rPr>
          <w:rFonts w:hint="eastAsia" w:ascii="仿宋" w:hAnsi="仿宋" w:eastAsia="仿宋" w:cs="仿宋"/>
          <w:b/>
          <w:sz w:val="28"/>
          <w:highlight w:val="none"/>
          <w:lang w:eastAsia="zh-CN"/>
        </w:rPr>
        <w:t xml:space="preserve">  </w:t>
      </w:r>
    </w:p>
    <w:p w14:paraId="753E2EDC">
      <w:pPr>
        <w:pStyle w:val="7"/>
        <w:jc w:val="left"/>
        <w:outlineLvl w:val="2"/>
        <w:rPr>
          <w:rFonts w:hint="eastAsia" w:ascii="仿宋" w:hAnsi="仿宋" w:eastAsia="仿宋" w:cs="仿宋"/>
          <w:highlight w:val="none"/>
          <w:lang w:eastAsia="zh-CN"/>
        </w:rPr>
      </w:pPr>
      <w:r>
        <w:rPr>
          <w:rFonts w:hint="eastAsia" w:ascii="仿宋" w:hAnsi="仿宋" w:eastAsia="仿宋" w:cs="仿宋"/>
          <w:b/>
          <w:sz w:val="28"/>
          <w:highlight w:val="none"/>
        </w:rPr>
        <w:t>采购人：</w:t>
      </w:r>
      <w:r>
        <w:rPr>
          <w:rFonts w:hint="eastAsia" w:ascii="仿宋" w:hAnsi="仿宋" w:eastAsia="仿宋" w:cs="仿宋"/>
          <w:b/>
          <w:sz w:val="28"/>
          <w:highlight w:val="none"/>
          <w:lang w:eastAsia="zh-CN"/>
        </w:rPr>
        <w:t>厦门大学附属心血管病医院</w:t>
      </w:r>
    </w:p>
    <w:p w14:paraId="2F44A6F0">
      <w:pPr>
        <w:pStyle w:val="7"/>
        <w:jc w:val="left"/>
        <w:outlineLvl w:val="2"/>
        <w:rPr>
          <w:rFonts w:hint="eastAsia" w:ascii="仿宋" w:hAnsi="仿宋" w:eastAsia="仿宋" w:cs="仿宋"/>
          <w:b/>
          <w:sz w:val="28"/>
          <w:highlight w:val="none"/>
          <w:lang w:eastAsia="zh-CN"/>
        </w:rPr>
      </w:pPr>
      <w:r>
        <w:rPr>
          <w:rFonts w:hint="eastAsia" w:ascii="仿宋" w:hAnsi="仿宋" w:eastAsia="仿宋" w:cs="仿宋"/>
          <w:b/>
          <w:sz w:val="28"/>
          <w:highlight w:val="none"/>
        </w:rPr>
        <w:t>代理机构：</w:t>
      </w:r>
      <w:r>
        <w:rPr>
          <w:rFonts w:hint="eastAsia" w:ascii="仿宋" w:hAnsi="仿宋" w:eastAsia="仿宋" w:cs="仿宋"/>
          <w:b/>
          <w:sz w:val="28"/>
          <w:highlight w:val="none"/>
          <w:lang w:eastAsia="zh-CN"/>
        </w:rPr>
        <w:t>福建省闽招咨询管理有限公司</w:t>
      </w:r>
    </w:p>
    <w:p w14:paraId="18459567">
      <w:pPr>
        <w:pStyle w:val="7"/>
        <w:jc w:val="left"/>
        <w:outlineLvl w:val="2"/>
        <w:rPr>
          <w:rFonts w:hint="eastAsia" w:ascii="仿宋" w:hAnsi="仿宋" w:eastAsia="仿宋" w:cs="仿宋"/>
          <w:b/>
          <w:sz w:val="28"/>
          <w:highlight w:val="none"/>
          <w:lang w:eastAsia="zh-CN"/>
        </w:rPr>
      </w:pPr>
    </w:p>
    <w:p w14:paraId="40324120">
      <w:pPr>
        <w:pStyle w:val="7"/>
        <w:jc w:val="left"/>
        <w:outlineLvl w:val="2"/>
        <w:rPr>
          <w:rFonts w:hint="eastAsia" w:ascii="仿宋" w:hAnsi="仿宋" w:eastAsia="仿宋" w:cs="仿宋"/>
          <w:b/>
          <w:sz w:val="28"/>
          <w:highlight w:val="none"/>
          <w:lang w:eastAsia="zh-CN"/>
        </w:rPr>
      </w:pPr>
    </w:p>
    <w:p w14:paraId="7DBAA48D">
      <w:pPr>
        <w:pStyle w:val="7"/>
        <w:jc w:val="left"/>
        <w:outlineLvl w:val="2"/>
        <w:rPr>
          <w:rFonts w:hint="eastAsia" w:ascii="仿宋" w:hAnsi="仿宋" w:eastAsia="仿宋" w:cs="仿宋"/>
          <w:b/>
          <w:sz w:val="28"/>
          <w:highlight w:val="none"/>
          <w:lang w:eastAsia="zh-CN"/>
        </w:rPr>
      </w:pPr>
    </w:p>
    <w:p w14:paraId="6E70C774">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编制时间：2025年</w:t>
      </w:r>
      <w:r>
        <w:rPr>
          <w:rFonts w:hint="eastAsia" w:ascii="仿宋" w:hAnsi="仿宋" w:eastAsia="仿宋" w:cs="仿宋"/>
          <w:b/>
          <w:sz w:val="28"/>
          <w:highlight w:val="none"/>
          <w:lang w:val="en-US" w:eastAsia="zh-CN"/>
        </w:rPr>
        <w:t>9</w:t>
      </w:r>
      <w:r>
        <w:rPr>
          <w:rFonts w:hint="eastAsia" w:ascii="仿宋" w:hAnsi="仿宋" w:eastAsia="仿宋" w:cs="仿宋"/>
          <w:b/>
          <w:sz w:val="28"/>
          <w:highlight w:val="none"/>
        </w:rPr>
        <w:t>月</w:t>
      </w:r>
    </w:p>
    <w:p w14:paraId="5331F4A8">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1A1CB67A">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第一章 投标邀请</w:t>
      </w:r>
    </w:p>
    <w:p w14:paraId="664C62C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采用公开招标方式组织 </w:t>
      </w:r>
      <w:r>
        <w:rPr>
          <w:rFonts w:hint="eastAsia" w:ascii="仿宋" w:hAnsi="仿宋" w:eastAsia="仿宋" w:cs="仿宋"/>
          <w:sz w:val="24"/>
          <w:szCs w:val="24"/>
          <w:highlight w:val="none"/>
          <w:lang w:eastAsia="zh-CN"/>
        </w:rPr>
        <w:t>国家心血管医学研究分中心医疗信息化智能化设备采购项目</w:t>
      </w:r>
      <w:r>
        <w:rPr>
          <w:rFonts w:hint="eastAsia" w:ascii="仿宋" w:hAnsi="仿宋" w:eastAsia="仿宋" w:cs="仿宋"/>
          <w:sz w:val="24"/>
          <w:szCs w:val="24"/>
          <w:highlight w:val="none"/>
        </w:rPr>
        <w:t xml:space="preserve"> （以下简称：“本项目”）的政府采购活动，现邀请</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参加投标。</w:t>
      </w:r>
    </w:p>
    <w:p w14:paraId="06645127">
      <w:pPr>
        <w:pStyle w:val="7"/>
        <w:ind w:firstLine="480"/>
        <w:jc w:val="left"/>
        <w:outlineLvl w:val="2"/>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1、备案编号：</w:t>
      </w:r>
      <w:r>
        <w:rPr>
          <w:rFonts w:hint="eastAsia" w:ascii="仿宋" w:hAnsi="仿宋" w:eastAsia="仿宋" w:cs="仿宋"/>
          <w:b/>
          <w:sz w:val="24"/>
          <w:szCs w:val="24"/>
          <w:highlight w:val="none"/>
          <w:lang w:eastAsia="zh-CN"/>
        </w:rPr>
        <w:t xml:space="preserve"> </w:t>
      </w:r>
    </w:p>
    <w:p w14:paraId="40A4AD3F">
      <w:pPr>
        <w:pStyle w:val="7"/>
        <w:ind w:firstLine="480"/>
        <w:jc w:val="left"/>
        <w:outlineLvl w:val="2"/>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2、项目编号：</w:t>
      </w:r>
      <w:r>
        <w:rPr>
          <w:rFonts w:hint="eastAsia" w:ascii="仿宋" w:hAnsi="仿宋" w:eastAsia="仿宋" w:cs="仿宋"/>
          <w:b/>
          <w:sz w:val="24"/>
          <w:szCs w:val="24"/>
          <w:highlight w:val="none"/>
          <w:lang w:eastAsia="zh-CN"/>
        </w:rPr>
        <w:t xml:space="preserve">  </w:t>
      </w:r>
    </w:p>
    <w:p w14:paraId="023BD5D7">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3、预算金额、最高限价：详见《采购标的一览表》。</w:t>
      </w:r>
    </w:p>
    <w:p w14:paraId="69F91A49">
      <w:pPr>
        <w:pStyle w:val="7"/>
        <w:ind w:firstLine="480"/>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4、招标内容及要求：详见《采购标的一览表》及招标文件第五章。</w:t>
      </w:r>
    </w:p>
    <w:p w14:paraId="5BCD1C48">
      <w:pPr>
        <w:pStyle w:val="7"/>
        <w:ind w:firstLine="480"/>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5、需要落实的政府采购政策</w:t>
      </w:r>
    </w:p>
    <w:p w14:paraId="533603EF">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进口产品：本项目不接受进口产品参与投标。</w:t>
      </w:r>
    </w:p>
    <w:p w14:paraId="3CCF0A1B">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节能产品：按照节能产品政府采购品目清单执行。</w:t>
      </w:r>
    </w:p>
    <w:p w14:paraId="32E239A9">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环境标志产品：按照环境标志产品政府采购品目清单执行。</w:t>
      </w:r>
    </w:p>
    <w:p w14:paraId="17275378">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促进中小企业发展的相关政策：</w:t>
      </w:r>
    </w:p>
    <w:p w14:paraId="40AC7268">
      <w:pPr>
        <w:pStyle w:val="7"/>
        <w:ind w:firstLine="960"/>
        <w:jc w:val="left"/>
        <w:rPr>
          <w:rFonts w:hint="default" w:eastAsia="仿宋_GB2312"/>
          <w:b/>
          <w:bCs/>
          <w:sz w:val="24"/>
          <w:szCs w:val="24"/>
          <w:highlight w:val="none"/>
          <w:lang w:val="en-US" w:eastAsia="zh-CN"/>
        </w:rPr>
      </w:pPr>
      <w:r>
        <w:rPr>
          <w:rFonts w:ascii="仿宋_GB2312" w:hAnsi="仿宋_GB2312" w:eastAsia="仿宋_GB2312" w:cs="仿宋_GB2312"/>
          <w:b/>
          <w:bCs/>
          <w:sz w:val="24"/>
          <w:szCs w:val="24"/>
          <w:highlight w:val="none"/>
        </w:rPr>
        <w:t>采购包1：要求合同分包</w:t>
      </w:r>
    </w:p>
    <w:p w14:paraId="789193FE">
      <w:pPr>
        <w:pStyle w:val="7"/>
        <w:ind w:firstLine="964" w:firstLineChars="400"/>
        <w:jc w:val="left"/>
        <w:rPr>
          <w:b/>
          <w:bCs/>
          <w:sz w:val="24"/>
          <w:szCs w:val="24"/>
          <w:highlight w:val="none"/>
        </w:rPr>
      </w:pPr>
      <w:r>
        <w:rPr>
          <w:rFonts w:ascii="仿宋_GB2312" w:hAnsi="仿宋_GB2312" w:eastAsia="仿宋_GB2312" w:cs="仿宋_GB2312"/>
          <w:b/>
          <w:bCs/>
          <w:sz w:val="24"/>
          <w:szCs w:val="24"/>
          <w:highlight w:val="none"/>
        </w:rPr>
        <w:t>面向的企业规模：中小企业</w:t>
      </w:r>
    </w:p>
    <w:p w14:paraId="00DB5FAD">
      <w:pPr>
        <w:pStyle w:val="7"/>
        <w:ind w:firstLine="964" w:firstLineChars="400"/>
        <w:jc w:val="left"/>
        <w:rPr>
          <w:b/>
          <w:bCs/>
          <w:sz w:val="24"/>
          <w:szCs w:val="24"/>
          <w:highlight w:val="none"/>
        </w:rPr>
      </w:pPr>
      <w:r>
        <w:rPr>
          <w:rFonts w:ascii="仿宋_GB2312" w:hAnsi="仿宋_GB2312" w:eastAsia="仿宋_GB2312" w:cs="仿宋_GB2312"/>
          <w:b/>
          <w:bCs/>
          <w:sz w:val="24"/>
          <w:szCs w:val="24"/>
          <w:highlight w:val="none"/>
        </w:rPr>
        <w:t>预留形式：要求合同分包</w:t>
      </w:r>
    </w:p>
    <w:p w14:paraId="6204679B">
      <w:pPr>
        <w:pStyle w:val="7"/>
        <w:ind w:firstLine="964" w:firstLineChars="400"/>
        <w:jc w:val="left"/>
        <w:rPr>
          <w:rFonts w:hint="eastAsia" w:ascii="仿宋" w:hAnsi="仿宋" w:eastAsia="仿宋" w:cs="仿宋"/>
          <w:b/>
          <w:bCs/>
          <w:sz w:val="24"/>
          <w:szCs w:val="24"/>
          <w:highlight w:val="none"/>
          <w:lang w:val="en-US" w:eastAsia="zh-CN"/>
        </w:rPr>
      </w:pPr>
      <w:r>
        <w:rPr>
          <w:rFonts w:ascii="仿宋_GB2312" w:hAnsi="仿宋_GB2312" w:eastAsia="仿宋_GB2312" w:cs="仿宋_GB2312"/>
          <w:b/>
          <w:bCs/>
          <w:sz w:val="24"/>
          <w:szCs w:val="24"/>
          <w:highlight w:val="none"/>
        </w:rPr>
        <w:t>预留比例：</w:t>
      </w:r>
      <w:r>
        <w:rPr>
          <w:rFonts w:hint="eastAsia" w:ascii="仿宋_GB2312" w:hAnsi="仿宋_GB2312" w:eastAsia="仿宋_GB2312" w:cs="仿宋_GB2312"/>
          <w:b/>
          <w:bCs/>
          <w:sz w:val="24"/>
          <w:szCs w:val="24"/>
          <w:highlight w:val="none"/>
          <w:lang w:val="en-US" w:eastAsia="zh-CN"/>
        </w:rPr>
        <w:t>1</w:t>
      </w:r>
      <w:r>
        <w:rPr>
          <w:rFonts w:ascii="仿宋_GB2312" w:hAnsi="仿宋_GB2312" w:eastAsia="仿宋_GB2312" w:cs="仿宋_GB2312"/>
          <w:b/>
          <w:bCs/>
          <w:sz w:val="24"/>
          <w:szCs w:val="24"/>
          <w:highlight w:val="none"/>
        </w:rPr>
        <w:t>0%</w:t>
      </w:r>
    </w:p>
    <w:p w14:paraId="16321192">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6、投标人的资格要求</w:t>
      </w:r>
    </w:p>
    <w:p w14:paraId="3F287E91">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6.1法定条件：符合政府采购法第二十二条第一款规定的条件。</w:t>
      </w:r>
    </w:p>
    <w:p w14:paraId="7E00D1E8">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6.2特定条件：</w:t>
      </w:r>
    </w:p>
    <w:p w14:paraId="1B77841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28"/>
        <w:gridCol w:w="6278"/>
      </w:tblGrid>
      <w:tr w14:paraId="34932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133B738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资格审查要求概况</w:t>
            </w:r>
          </w:p>
        </w:tc>
        <w:tc>
          <w:tcPr>
            <w:tcW w:w="6278" w:type="dxa"/>
          </w:tcPr>
          <w:p w14:paraId="2A622FC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评审点具体描述</w:t>
            </w:r>
          </w:p>
        </w:tc>
      </w:tr>
      <w:tr w14:paraId="3B29AD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50A1E89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信用记录要求（招标文件其他地方要求与本条款要求不一致的，以本条款要求为准）</w:t>
            </w:r>
          </w:p>
        </w:tc>
        <w:tc>
          <w:tcPr>
            <w:tcW w:w="6278" w:type="dxa"/>
          </w:tcPr>
          <w:p w14:paraId="69D0AE9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1、信用信息查询渠道：通过“信用中国”网站（www.creditchina.gov.cn）、中国政府采购网（www.ccgp.gov.cn）、“信用厦门”网站（credit.xm.gov.cn）查询所有</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的信用信息。 2、截止时点：查询</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截止开标当天前三年内的信用信息。 3、查询记录和证据留存方式：将查询结果网页打印后随采购文件一并存档。 4、信用信息的使用规则：（1）查询结果显示</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信息的，不认定</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资格审查不合格；评审结束后，通过其他渠道发现</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存在不良信用记录的，不认定为资格审查错误，将依照有关规定进行调查处理。（3）联合体成员存在不良信用记录的，视同联合体存在不良信用记录，联合体资格审查不合格。 5、</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无需提供信用信息查询结果。若</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自行提供查询结果的，仍以评标当天查询结果为准。</w:t>
            </w:r>
          </w:p>
        </w:tc>
      </w:tr>
      <w:tr w14:paraId="7BAE0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6BB5AF7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资格承诺函</w:t>
            </w:r>
          </w:p>
        </w:tc>
        <w:tc>
          <w:tcPr>
            <w:tcW w:w="6278" w:type="dxa"/>
          </w:tcPr>
          <w:p w14:paraId="464C2EB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①本采购包允许</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采用资格承诺制。采用资格承诺制的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，应当根据投标(响应)格式文件要求提供资格承诺函，无需提供《政府采购法实施条例》第十七条第一款规定的一般资格条件证明材料；资格承诺函不符合采购文件要求的，视为未按照采购文件规定提交</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的资格及资信文件，按资格审查不合格处理。②采购项目有特殊资格要求的，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还应按要求提供相应的证明材料。</w:t>
            </w:r>
          </w:p>
        </w:tc>
      </w:tr>
      <w:tr w14:paraId="54223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tcPr>
          <w:p w14:paraId="3360E20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采购人根据采购项目的要求规定的特定条件</w:t>
            </w:r>
          </w:p>
        </w:tc>
        <w:tc>
          <w:tcPr>
            <w:tcW w:w="6278" w:type="dxa"/>
            <w:vAlign w:val="center"/>
          </w:tcPr>
          <w:p w14:paraId="1DE69043">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投标人必须具有建设行政主管部门颁发的</w:t>
            </w:r>
            <w:r>
              <w:rPr>
                <w:rFonts w:hint="eastAsia" w:ascii="仿宋" w:hAnsi="仿宋" w:eastAsia="仿宋" w:cs="仿宋"/>
                <w:sz w:val="24"/>
                <w:szCs w:val="24"/>
                <w:highlight w:val="none"/>
                <w:lang w:eastAsia="zh-CN"/>
              </w:rPr>
              <w:t>电子与智能化工程专业承包一级（含）以上资质</w:t>
            </w:r>
            <w:r>
              <w:rPr>
                <w:rFonts w:hint="eastAsia" w:ascii="仿宋" w:hAnsi="仿宋" w:eastAsia="仿宋" w:cs="仿宋"/>
                <w:sz w:val="24"/>
                <w:szCs w:val="24"/>
                <w:highlight w:val="none"/>
              </w:rPr>
              <w:t>，提供有效的证书扫描件</w:t>
            </w:r>
            <w:r>
              <w:rPr>
                <w:rFonts w:hint="eastAsia" w:ascii="仿宋" w:hAnsi="仿宋" w:eastAsia="仿宋" w:cs="仿宋"/>
                <w:sz w:val="24"/>
                <w:szCs w:val="24"/>
                <w:highlight w:val="none"/>
                <w:lang w:val="en-US" w:eastAsia="zh-CN"/>
              </w:rPr>
              <w:t>或复印件</w:t>
            </w:r>
            <w:r>
              <w:rPr>
                <w:rFonts w:hint="eastAsia" w:ascii="仿宋" w:hAnsi="仿宋" w:eastAsia="仿宋" w:cs="仿宋"/>
                <w:sz w:val="24"/>
                <w:szCs w:val="24"/>
                <w:highlight w:val="none"/>
              </w:rPr>
              <w:t>。</w:t>
            </w:r>
          </w:p>
        </w:tc>
      </w:tr>
      <w:tr w14:paraId="28F8C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shd w:val="clear" w:color="auto" w:fill="auto"/>
          </w:tcPr>
          <w:p w14:paraId="0CE40900">
            <w:pPr>
              <w:pStyle w:val="7"/>
              <w:jc w:val="left"/>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“中小企业声明函（以资格条件落实中小企业扶持政策时适用 ）”的补充说明</w:t>
            </w:r>
          </w:p>
        </w:tc>
        <w:tc>
          <w:tcPr>
            <w:tcW w:w="6278" w:type="dxa"/>
            <w:shd w:val="clear" w:color="auto" w:fill="auto"/>
          </w:tcPr>
          <w:p w14:paraId="5F38D2D1">
            <w:pPr>
              <w:pStyle w:val="7"/>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根据《政府采购促进中小企业发展管理办法》财库[2020]46号以及《福建省财政厅关于进一步加大政府采购支持中小企业力度的通知》闽财规〔2022〕13号的规定，投标人须满足以下要求：采购人预留该项目预算总额的</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%以上（含</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%）专门面向中小企业（指产品制造商）采购，预留给小微企业（指产品制造商）的比例不低于项目预算总额的</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。投标人须根据《关于印发中小企业划型标准规定的通知》工信部联企业〔2011〕300号文中对应的中小企业划分标准所属行业：“工业”进行认定和声明，投标人须提供《中小企业声明函》。 【提示：投标人应按招标文件第五章“8、投标文件相关格式附件”格式提供《中小企业声明函》，并承诺相关产品报价所占比例，不满足的视为无效投标。】</w:t>
            </w:r>
          </w:p>
        </w:tc>
      </w:tr>
      <w:tr w14:paraId="59F0F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shd w:val="clear" w:color="auto" w:fill="auto"/>
          </w:tcPr>
          <w:p w14:paraId="0EE6A1B8">
            <w:pPr>
              <w:pStyle w:val="7"/>
              <w:jc w:val="left"/>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投标人的资格要求的更正</w:t>
            </w:r>
          </w:p>
        </w:tc>
        <w:tc>
          <w:tcPr>
            <w:tcW w:w="6278" w:type="dxa"/>
            <w:shd w:val="clear" w:color="auto" w:fill="auto"/>
          </w:tcPr>
          <w:p w14:paraId="13CCE338">
            <w:pPr>
              <w:pStyle w:val="7"/>
              <w:jc w:val="left"/>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本项目采用预留中小企业采购份额方式执行扶持中小企业政策。删除本项目“本采购包为专门面向中小企业采购，投标人须提供中小企业声明函。监狱企业、残疾人福利性单位视同小型、微型企业。”的资格条款要求。</w:t>
            </w:r>
          </w:p>
        </w:tc>
      </w:tr>
    </w:tbl>
    <w:p w14:paraId="02D9EC21">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6.3是否接受联合体投标：</w:t>
      </w:r>
    </w:p>
    <w:p w14:paraId="49558B5F">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采购包1：不接受</w:t>
      </w:r>
    </w:p>
    <w:p w14:paraId="02903590">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※根据上述资格要求，电子投标文件中应提交的“投标人的资格及资信证明文件”详见招标文件第四章。</w:t>
      </w:r>
    </w:p>
    <w:p w14:paraId="4DA4AE45">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7、招标文件的获取</w:t>
      </w:r>
    </w:p>
    <w:p w14:paraId="300463BF">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7.1、招标文件获取期限：详见招标公告或更正公告，若不一致，以更正公告为准。</w:t>
      </w:r>
    </w:p>
    <w:p w14:paraId="663272F4">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7.2、在招标文件获取期限内，</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应通过福建省政府采购网上公开信息系统的注册账号（免费注册）并获取招标文件(请根据项目所在地，登录对应的福建省政府采购网上公开信息系统(即省本级网址/地市分网))，否则投标将被拒绝。</w:t>
      </w:r>
    </w:p>
    <w:p w14:paraId="072216A7">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7.3、获取地点及方式：注册账号后，通过福建省政府采购网上公开信息系统以下载方式获取。</w:t>
      </w:r>
    </w:p>
    <w:p w14:paraId="6590E50C">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7.4、招标文件售价：0元。</w:t>
      </w:r>
    </w:p>
    <w:p w14:paraId="71EFBC37">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8、投标截止</w:t>
      </w:r>
    </w:p>
    <w:p w14:paraId="017E5B63">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8.1、投标截止时间：详见招标公告或更正公告，若不一致，以更正公告为准。</w:t>
      </w:r>
    </w:p>
    <w:p w14:paraId="17E9A904">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8.2、投标人应在投标截止时间前按照福建省政府采购网上公开信息系统设定的操作流程将电子投标文件上传至福建省政府采购网上公开信息系统，否则投标将被拒绝。</w:t>
      </w:r>
    </w:p>
    <w:p w14:paraId="59BB95CA">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9、开标时间及地点</w:t>
      </w:r>
    </w:p>
    <w:p w14:paraId="174E30C0">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详见招标公告或更正公告，若不一致，以更正公告为准。</w:t>
      </w:r>
    </w:p>
    <w:p w14:paraId="0AA95E5F">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10、公告期限</w:t>
      </w:r>
    </w:p>
    <w:p w14:paraId="0DFB78F1">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10.1、招标公告的公告期限：自财政部和福建省财政厅指定的政府采购信息发布媒体最先发布公告之日起5个工作日。</w:t>
      </w:r>
    </w:p>
    <w:p w14:paraId="1CA24175">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10.2、招标文件公告期限：招标文件随同招标公告一并发布，其公告期限与招标公告的公告期限保持一致。</w:t>
      </w:r>
    </w:p>
    <w:p w14:paraId="0B969F90">
      <w:pPr>
        <w:pStyle w:val="7"/>
        <w:ind w:firstLine="480"/>
        <w:jc w:val="left"/>
        <w:outlineLvl w:val="2"/>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11、采购人：</w:t>
      </w:r>
      <w:r>
        <w:rPr>
          <w:rFonts w:hint="eastAsia" w:ascii="仿宋" w:hAnsi="仿宋" w:eastAsia="仿宋" w:cs="仿宋"/>
          <w:b/>
          <w:sz w:val="24"/>
          <w:szCs w:val="24"/>
          <w:highlight w:val="none"/>
          <w:lang w:eastAsia="zh-CN"/>
        </w:rPr>
        <w:t>厦门大学附属心血管病医院</w:t>
      </w:r>
    </w:p>
    <w:p w14:paraId="3B0DDB91">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地址： 厦门市湖里区金山路2999号</w:t>
      </w:r>
    </w:p>
    <w:p w14:paraId="60F26D5A">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邮编： 361006</w:t>
      </w:r>
    </w:p>
    <w:p w14:paraId="05E1DD30">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联系人：刘工</w:t>
      </w:r>
    </w:p>
    <w:p w14:paraId="0D8E489B">
      <w:pPr>
        <w:pStyle w:val="7"/>
        <w:ind w:firstLine="96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 xml:space="preserve">联系电话：0592- </w:t>
      </w:r>
    </w:p>
    <w:p w14:paraId="6DD8FDB9">
      <w:pPr>
        <w:pStyle w:val="7"/>
        <w:ind w:firstLine="480"/>
        <w:jc w:val="left"/>
        <w:outlineLvl w:val="2"/>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12、代理机构：</w:t>
      </w:r>
      <w:r>
        <w:rPr>
          <w:rFonts w:hint="eastAsia" w:ascii="仿宋" w:hAnsi="仿宋" w:eastAsia="仿宋" w:cs="仿宋"/>
          <w:b/>
          <w:sz w:val="24"/>
          <w:szCs w:val="24"/>
          <w:highlight w:val="none"/>
          <w:lang w:eastAsia="zh-CN"/>
        </w:rPr>
        <w:t>福建省闽招咨询管理有限公司</w:t>
      </w:r>
    </w:p>
    <w:p w14:paraId="7ED7FF6B">
      <w:pPr>
        <w:pStyle w:val="7"/>
        <w:ind w:firstLine="1024" w:firstLineChars="427"/>
        <w:jc w:val="both"/>
        <w:outlineLvl w:val="2"/>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地址： 福建省福州市洪山路68号 招标大厦C座219</w:t>
      </w:r>
    </w:p>
    <w:p w14:paraId="524AD9F0">
      <w:pPr>
        <w:pStyle w:val="7"/>
        <w:ind w:firstLine="1024" w:firstLineChars="427"/>
        <w:jc w:val="both"/>
        <w:outlineLvl w:val="2"/>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厦门分公司地址：厦门市思明区鹭江道100号财富中心2305单元</w:t>
      </w:r>
    </w:p>
    <w:p w14:paraId="095293D5">
      <w:pPr>
        <w:pStyle w:val="7"/>
        <w:ind w:firstLine="1024" w:firstLineChars="427"/>
        <w:jc w:val="both"/>
        <w:outlineLvl w:val="2"/>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 xml:space="preserve">联系人：翟先生、黄女士    </w:t>
      </w:r>
    </w:p>
    <w:p w14:paraId="58E828C2">
      <w:pPr>
        <w:pStyle w:val="7"/>
        <w:ind w:firstLine="1024" w:firstLineChars="427"/>
        <w:jc w:val="both"/>
        <w:outlineLvl w:val="2"/>
        <w:rPr>
          <w:rFonts w:hint="eastAsia" w:ascii="仿宋" w:hAnsi="仿宋" w:eastAsia="仿宋" w:cs="仿宋"/>
          <w:b/>
          <w:sz w:val="24"/>
          <w:szCs w:val="24"/>
          <w:highlight w:val="none"/>
        </w:rPr>
      </w:pPr>
      <w:r>
        <w:rPr>
          <w:rFonts w:hint="eastAsia" w:ascii="仿宋" w:hAnsi="仿宋" w:eastAsia="仿宋" w:cs="仿宋"/>
          <w:b w:val="0"/>
          <w:bCs/>
          <w:sz w:val="24"/>
          <w:szCs w:val="24"/>
          <w:highlight w:val="none"/>
        </w:rPr>
        <w:t>联系电话：18205937661、15980016919</w:t>
      </w:r>
    </w:p>
    <w:p w14:paraId="4A8C4466">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附1：账户信息</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5FB315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tcPr>
          <w:p w14:paraId="7B08767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投标保证金账户</w:t>
            </w:r>
          </w:p>
          <w:p w14:paraId="0BB5D57E">
            <w:pPr>
              <w:pStyle w:val="7"/>
              <w:jc w:val="left"/>
              <w:rPr>
                <w:rFonts w:hint="eastAsia" w:ascii="仿宋" w:hAnsi="仿宋" w:eastAsia="仿宋" w:cs="仿宋"/>
                <w:sz w:val="24"/>
                <w:szCs w:val="24"/>
                <w:highlight w:val="none"/>
              </w:rPr>
            </w:pPr>
          </w:p>
        </w:tc>
      </w:tr>
      <w:tr w14:paraId="4C480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754223F5">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开户名称： </w:t>
            </w:r>
            <w:r>
              <w:rPr>
                <w:rFonts w:hint="eastAsia" w:ascii="仿宋" w:hAnsi="仿宋" w:eastAsia="仿宋" w:cs="仿宋"/>
                <w:sz w:val="24"/>
                <w:szCs w:val="24"/>
                <w:highlight w:val="none"/>
                <w:lang w:eastAsia="zh-CN"/>
              </w:rPr>
              <w:t>福建省闽招咨询管理有限公司</w:t>
            </w:r>
          </w:p>
        </w:tc>
      </w:tr>
      <w:tr w14:paraId="7B11F4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F2D706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在福建省政府采购网上公开信息系统获取招标文件后，根据其提示自行选择要缴交的投标保证金托管银行。</w:t>
            </w:r>
          </w:p>
        </w:tc>
      </w:tr>
      <w:tr w14:paraId="2209E9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155ACDF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银行账号：福建省政府采购网上公开信息系统根据</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选择的投标保证金托管银行自动生成</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所投采购包的缴交银行账号（即多个采购包将对应生成多个缴交账号）。</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应按照所投采购包的投标保证金要求，缴交相应的投标保证金。</w:t>
            </w:r>
          </w:p>
        </w:tc>
      </w:tr>
      <w:tr w14:paraId="0E620D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413B82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特别提示</w:t>
            </w:r>
          </w:p>
        </w:tc>
      </w:tr>
      <w:tr w14:paraId="226395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9E75DE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1、投标人应认真核对账户信息，将投标保证金汇入以上账户，并自行承担因汇错投标保证金而产生的一切后果。</w:t>
            </w:r>
          </w:p>
          <w:p w14:paraId="2FA3E3C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2、投标人在转账或电汇的凭证上应按照以下格式注明，以便核对：“（项目编号：***）的投标保证金”。</w:t>
            </w:r>
          </w:p>
        </w:tc>
      </w:tr>
    </w:tbl>
    <w:p w14:paraId="0B54C0EF">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附2：采购标的一览表</w:t>
      </w:r>
    </w:p>
    <w:p w14:paraId="05E6B8F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p w14:paraId="050D9010">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采购包预算金额（元）: </w:t>
      </w:r>
      <w:r>
        <w:rPr>
          <w:rFonts w:hint="eastAsia" w:ascii="仿宋" w:hAnsi="仿宋" w:eastAsia="仿宋" w:cs="仿宋"/>
          <w:sz w:val="24"/>
          <w:szCs w:val="24"/>
          <w:highlight w:val="none"/>
          <w:lang w:eastAsia="zh-CN"/>
        </w:rPr>
        <w:t>61,900,000.00</w:t>
      </w:r>
    </w:p>
    <w:p w14:paraId="66FB92D8">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采购包最高限价（元）: </w:t>
      </w:r>
      <w:r>
        <w:rPr>
          <w:rFonts w:hint="eastAsia" w:ascii="仿宋" w:hAnsi="仿宋" w:eastAsia="仿宋" w:cs="仿宋"/>
          <w:sz w:val="24"/>
          <w:szCs w:val="24"/>
          <w:highlight w:val="none"/>
          <w:lang w:eastAsia="zh-CN"/>
        </w:rPr>
        <w:t>61,900,000.00</w:t>
      </w:r>
    </w:p>
    <w:p w14:paraId="310A90F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采购包保证金金额（元）: 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6"/>
        <w:gridCol w:w="1515"/>
        <w:gridCol w:w="1142"/>
        <w:gridCol w:w="1776"/>
        <w:gridCol w:w="1121"/>
        <w:gridCol w:w="1121"/>
        <w:gridCol w:w="1121"/>
      </w:tblGrid>
      <w:tr w14:paraId="78115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14:paraId="69D242F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515" w:type="dxa"/>
          </w:tcPr>
          <w:p w14:paraId="035354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标的名称</w:t>
            </w:r>
          </w:p>
        </w:tc>
        <w:tc>
          <w:tcPr>
            <w:tcW w:w="1142" w:type="dxa"/>
          </w:tcPr>
          <w:p w14:paraId="77518A8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776" w:type="dxa"/>
          </w:tcPr>
          <w:p w14:paraId="0B9970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标的金额 （元）</w:t>
            </w:r>
          </w:p>
        </w:tc>
        <w:tc>
          <w:tcPr>
            <w:tcW w:w="1121" w:type="dxa"/>
          </w:tcPr>
          <w:p w14:paraId="2405E74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计量单位</w:t>
            </w:r>
          </w:p>
        </w:tc>
        <w:tc>
          <w:tcPr>
            <w:tcW w:w="1121" w:type="dxa"/>
          </w:tcPr>
          <w:p w14:paraId="3653AB0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所属行业</w:t>
            </w:r>
          </w:p>
        </w:tc>
        <w:tc>
          <w:tcPr>
            <w:tcW w:w="1121" w:type="dxa"/>
          </w:tcPr>
          <w:p w14:paraId="75F1C4B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是否允许进口产品</w:t>
            </w:r>
          </w:p>
        </w:tc>
      </w:tr>
      <w:tr w14:paraId="5B4C8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6" w:type="dxa"/>
          </w:tcPr>
          <w:p w14:paraId="44D517D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515" w:type="dxa"/>
          </w:tcPr>
          <w:p w14:paraId="448202B0">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国家心血管医学研究分中心医疗信息化智能化设备采购项目</w:t>
            </w:r>
          </w:p>
        </w:tc>
        <w:tc>
          <w:tcPr>
            <w:tcW w:w="1142" w:type="dxa"/>
          </w:tcPr>
          <w:p w14:paraId="6A414D24">
            <w:pPr>
              <w:pStyle w:val="7"/>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1.00</w:t>
            </w:r>
          </w:p>
        </w:tc>
        <w:tc>
          <w:tcPr>
            <w:tcW w:w="1776" w:type="dxa"/>
          </w:tcPr>
          <w:p w14:paraId="36CDDD3A">
            <w:pPr>
              <w:pStyle w:val="7"/>
              <w:jc w:val="righ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61,900,000.00</w:t>
            </w:r>
          </w:p>
        </w:tc>
        <w:tc>
          <w:tcPr>
            <w:tcW w:w="1121" w:type="dxa"/>
          </w:tcPr>
          <w:p w14:paraId="3A64603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w:t>
            </w:r>
          </w:p>
        </w:tc>
        <w:tc>
          <w:tcPr>
            <w:tcW w:w="1121" w:type="dxa"/>
          </w:tcPr>
          <w:p w14:paraId="7C6D8CF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工业</w:t>
            </w:r>
          </w:p>
        </w:tc>
        <w:tc>
          <w:tcPr>
            <w:tcW w:w="1121" w:type="dxa"/>
          </w:tcPr>
          <w:p w14:paraId="308F258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否</w:t>
            </w:r>
          </w:p>
        </w:tc>
      </w:tr>
    </w:tbl>
    <w:p w14:paraId="5D855EE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p w14:paraId="7380BA1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56"/>
        <w:gridCol w:w="2863"/>
        <w:gridCol w:w="547"/>
        <w:gridCol w:w="547"/>
        <w:gridCol w:w="1776"/>
        <w:gridCol w:w="1101"/>
        <w:gridCol w:w="1232"/>
      </w:tblGrid>
      <w:tr w14:paraId="207A6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3FEEAA5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863" w:type="dxa"/>
          </w:tcPr>
          <w:p w14:paraId="6FFCFE8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报价内容</w:t>
            </w:r>
          </w:p>
        </w:tc>
        <w:tc>
          <w:tcPr>
            <w:tcW w:w="547" w:type="dxa"/>
          </w:tcPr>
          <w:p w14:paraId="5276DC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计量单位</w:t>
            </w:r>
          </w:p>
        </w:tc>
        <w:tc>
          <w:tcPr>
            <w:tcW w:w="547" w:type="dxa"/>
          </w:tcPr>
          <w:p w14:paraId="3168224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报价单位</w:t>
            </w:r>
          </w:p>
        </w:tc>
        <w:tc>
          <w:tcPr>
            <w:tcW w:w="1776" w:type="dxa"/>
          </w:tcPr>
          <w:p w14:paraId="39532E6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最高限价</w:t>
            </w:r>
          </w:p>
        </w:tc>
        <w:tc>
          <w:tcPr>
            <w:tcW w:w="1101" w:type="dxa"/>
          </w:tcPr>
          <w:p w14:paraId="7A08F86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价款形式</w:t>
            </w:r>
          </w:p>
        </w:tc>
        <w:tc>
          <w:tcPr>
            <w:tcW w:w="1232" w:type="dxa"/>
          </w:tcPr>
          <w:p w14:paraId="6CAF805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报价说明</w:t>
            </w:r>
          </w:p>
        </w:tc>
      </w:tr>
      <w:tr w14:paraId="17FE49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7C8C587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863" w:type="dxa"/>
          </w:tcPr>
          <w:p w14:paraId="6278284F">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国家心血管医学研究分中心医疗信息化智能化设备采购项目</w:t>
            </w:r>
          </w:p>
        </w:tc>
        <w:tc>
          <w:tcPr>
            <w:tcW w:w="547" w:type="dxa"/>
          </w:tcPr>
          <w:p w14:paraId="0FA72A2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w:t>
            </w:r>
          </w:p>
        </w:tc>
        <w:tc>
          <w:tcPr>
            <w:tcW w:w="547" w:type="dxa"/>
          </w:tcPr>
          <w:p w14:paraId="1DD61C8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元</w:t>
            </w:r>
          </w:p>
        </w:tc>
        <w:tc>
          <w:tcPr>
            <w:tcW w:w="1776" w:type="dxa"/>
          </w:tcPr>
          <w:p w14:paraId="6BB88B11">
            <w:pPr>
              <w:pStyle w:val="7"/>
              <w:jc w:val="righ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61,900,000.00</w:t>
            </w:r>
          </w:p>
        </w:tc>
        <w:tc>
          <w:tcPr>
            <w:tcW w:w="1101" w:type="dxa"/>
          </w:tcPr>
          <w:p w14:paraId="6DD607A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总价</w:t>
            </w:r>
          </w:p>
        </w:tc>
        <w:tc>
          <w:tcPr>
            <w:tcW w:w="1232" w:type="dxa"/>
          </w:tcPr>
          <w:p w14:paraId="664A6E1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投标人应自行编制投标报价明细表，并上传至投标报价部分</w:t>
            </w:r>
          </w:p>
        </w:tc>
      </w:tr>
    </w:tbl>
    <w:p w14:paraId="031BA8F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（2）报价明细要求：</w:t>
      </w:r>
    </w:p>
    <w:p w14:paraId="08794EA3">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国家心血管医学研究分中心医疗信息化智能化设备采购项目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456"/>
        <w:gridCol w:w="1767"/>
        <w:gridCol w:w="1535"/>
        <w:gridCol w:w="670"/>
        <w:gridCol w:w="456"/>
        <w:gridCol w:w="1342"/>
        <w:gridCol w:w="1050"/>
        <w:gridCol w:w="1246"/>
      </w:tblGrid>
      <w:tr w14:paraId="07A5C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CB78D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767" w:type="dxa"/>
          </w:tcPr>
          <w:p w14:paraId="6047B15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报价明细内容</w:t>
            </w:r>
          </w:p>
        </w:tc>
        <w:tc>
          <w:tcPr>
            <w:tcW w:w="1535" w:type="dxa"/>
          </w:tcPr>
          <w:p w14:paraId="3CC7933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报价要求</w:t>
            </w:r>
          </w:p>
        </w:tc>
        <w:tc>
          <w:tcPr>
            <w:tcW w:w="670" w:type="dxa"/>
          </w:tcPr>
          <w:p w14:paraId="249912C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计量单位</w:t>
            </w:r>
          </w:p>
        </w:tc>
        <w:tc>
          <w:tcPr>
            <w:tcW w:w="456" w:type="dxa"/>
          </w:tcPr>
          <w:p w14:paraId="4132D1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报价单位</w:t>
            </w:r>
          </w:p>
        </w:tc>
        <w:tc>
          <w:tcPr>
            <w:tcW w:w="1342" w:type="dxa"/>
          </w:tcPr>
          <w:p w14:paraId="24F73A0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最高限价</w:t>
            </w:r>
          </w:p>
        </w:tc>
        <w:tc>
          <w:tcPr>
            <w:tcW w:w="1050" w:type="dxa"/>
          </w:tcPr>
          <w:p w14:paraId="6B51698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价款形式</w:t>
            </w:r>
          </w:p>
        </w:tc>
        <w:tc>
          <w:tcPr>
            <w:tcW w:w="1246" w:type="dxa"/>
          </w:tcPr>
          <w:p w14:paraId="0B87EDA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报价说明</w:t>
            </w:r>
          </w:p>
        </w:tc>
      </w:tr>
      <w:tr w14:paraId="1D6BA9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56" w:type="dxa"/>
          </w:tcPr>
          <w:p w14:paraId="09EA2BD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767" w:type="dxa"/>
          </w:tcPr>
          <w:p w14:paraId="4E9D4482">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国家心血管医学研究分中心医疗信息化智能化设备采购项目</w:t>
            </w:r>
          </w:p>
        </w:tc>
        <w:tc>
          <w:tcPr>
            <w:tcW w:w="1535" w:type="dxa"/>
          </w:tcPr>
          <w:p w14:paraId="7A27CF28">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详见招标文件</w:t>
            </w:r>
          </w:p>
        </w:tc>
        <w:tc>
          <w:tcPr>
            <w:tcW w:w="670" w:type="dxa"/>
          </w:tcPr>
          <w:p w14:paraId="31B3BDF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w:t>
            </w:r>
          </w:p>
        </w:tc>
        <w:tc>
          <w:tcPr>
            <w:tcW w:w="456" w:type="dxa"/>
          </w:tcPr>
          <w:p w14:paraId="4458423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元</w:t>
            </w:r>
          </w:p>
        </w:tc>
        <w:tc>
          <w:tcPr>
            <w:tcW w:w="1342" w:type="dxa"/>
          </w:tcPr>
          <w:p w14:paraId="6B07116E">
            <w:pPr>
              <w:pStyle w:val="7"/>
              <w:jc w:val="righ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61,900,000.00</w:t>
            </w:r>
          </w:p>
        </w:tc>
        <w:tc>
          <w:tcPr>
            <w:tcW w:w="1050" w:type="dxa"/>
          </w:tcPr>
          <w:p w14:paraId="5CF427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总价</w:t>
            </w:r>
          </w:p>
        </w:tc>
        <w:tc>
          <w:tcPr>
            <w:tcW w:w="1246" w:type="dxa"/>
            <w:shd w:val="clear" w:color="auto" w:fill="auto"/>
          </w:tcPr>
          <w:p w14:paraId="408A7089">
            <w:pPr>
              <w:pStyle w:val="7"/>
              <w:jc w:val="left"/>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投标人应自行编制投标报价明细表，并上传至投标报价部分</w:t>
            </w:r>
          </w:p>
        </w:tc>
      </w:tr>
    </w:tbl>
    <w:p w14:paraId="12B92A5D">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B515D7C">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第二章 投标人须知前附表</w:t>
      </w:r>
    </w:p>
    <w:p w14:paraId="51F568D2">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一、投标人须知前附表1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14"/>
        <w:gridCol w:w="1523"/>
        <w:gridCol w:w="6285"/>
      </w:tblGrid>
      <w:tr w14:paraId="5D7C2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22" w:type="dxa"/>
            <w:gridSpan w:val="3"/>
          </w:tcPr>
          <w:p w14:paraId="68024C7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特别提示：本表与招标文件对应章节的内容若不一致，以本表为准。</w:t>
            </w:r>
          </w:p>
        </w:tc>
      </w:tr>
      <w:tr w14:paraId="222FB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5F1A10A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523" w:type="dxa"/>
          </w:tcPr>
          <w:p w14:paraId="2D6D3CA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招标文件</w:t>
            </w:r>
          </w:p>
          <w:p w14:paraId="7B05FC5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（第三章）</w:t>
            </w:r>
          </w:p>
        </w:tc>
        <w:tc>
          <w:tcPr>
            <w:tcW w:w="6285" w:type="dxa"/>
          </w:tcPr>
          <w:p w14:paraId="0C7A61F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编列内容</w:t>
            </w:r>
          </w:p>
        </w:tc>
      </w:tr>
      <w:tr w14:paraId="157445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32B195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523" w:type="dxa"/>
          </w:tcPr>
          <w:p w14:paraId="39F00E8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w:t>
            </w:r>
          </w:p>
        </w:tc>
        <w:tc>
          <w:tcPr>
            <w:tcW w:w="6285" w:type="dxa"/>
          </w:tcPr>
          <w:p w14:paraId="5E53BD0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是否组织现场考察或召开开标前答疑会：</w:t>
            </w:r>
          </w:p>
          <w:p w14:paraId="1A5A6659">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购包1：1、本项目采购人于不组织集中现场踏勘，投标人可自行对项目现场、现有设施设备以及安装环境进行踏勘，以便获取有关编制投标文件和签署合同所涉及现场的资料。投标人应自行承担踏勘现场所发生的费用。 2、投标人及其人员经过采购人的允许，可以踏勘为目的进入采购人的项目现场，但投标人及其人员不得因此使采购人及其人员承担有关的责任和蒙受损失。投标人并应对由此次踏勘现场而造成的人员死亡、人身伤害、财产损失、损害以及任何其它损失、损害和引起的费用和开支承担责任。 3、采购人向投标人提供的有关现场的资料和数据，是采购人现有的能被投标人利用的资料。采购人对投标人做出的理解、推论和结论均不负责任</w:t>
            </w:r>
            <w:r>
              <w:rPr>
                <w:rFonts w:hint="eastAsia" w:ascii="仿宋" w:hAnsi="仿宋" w:eastAsia="仿宋" w:cs="仿宋"/>
                <w:sz w:val="24"/>
                <w:szCs w:val="24"/>
                <w:highlight w:val="none"/>
                <w:lang w:eastAsia="zh-CN"/>
              </w:rPr>
              <w:t>。</w:t>
            </w:r>
          </w:p>
        </w:tc>
      </w:tr>
      <w:tr w14:paraId="5B10AC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0514D3B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523" w:type="dxa"/>
          </w:tcPr>
          <w:p w14:paraId="4B901C5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10.4</w:t>
            </w:r>
          </w:p>
        </w:tc>
        <w:tc>
          <w:tcPr>
            <w:tcW w:w="6285" w:type="dxa"/>
          </w:tcPr>
          <w:p w14:paraId="5BF451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投标文件的份数：</w:t>
            </w:r>
          </w:p>
          <w:p w14:paraId="10779DD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（1）可读介质（光盘或U盘） 0 份：投标人应将其上传至福建省政府采购网上公开信息系统的电子投标文件在该可读介质中另存 0 份。</w:t>
            </w:r>
          </w:p>
          <w:p w14:paraId="2EF1720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（2）电子投标文件：详见投标人须知前附表2《关于电子招标投标活动的专门规定》。</w:t>
            </w:r>
          </w:p>
        </w:tc>
      </w:tr>
      <w:tr w14:paraId="56619D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6D5996A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523" w:type="dxa"/>
          </w:tcPr>
          <w:p w14:paraId="2139E9F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10.7-（1）</w:t>
            </w:r>
          </w:p>
        </w:tc>
        <w:tc>
          <w:tcPr>
            <w:tcW w:w="6285" w:type="dxa"/>
          </w:tcPr>
          <w:p w14:paraId="506D682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是否允许中标人将本项目的非主体、非关键性工作进行分包：</w:t>
            </w:r>
          </w:p>
          <w:p w14:paraId="69E2597F">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采购包1：分包比例</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分包履行的内容：（1）本采购包不允许分包，投标人在投标文件中无须提供分包协议。招标文件第一章所述“预留形式：要求合同分包”不是要求供应商中标后分包，而是落实政府采购政策要求，预留份额给中小企业。（2）本采购包预留份额给中小企业的含义是：预留该项目预算总额的</w:t>
            </w: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%以上（含</w:t>
            </w:r>
            <w:r>
              <w:rPr>
                <w:rFonts w:hint="eastAsia" w:ascii="仿宋" w:hAnsi="仿宋" w:eastAsia="仿宋" w:cs="仿宋"/>
                <w:sz w:val="24"/>
                <w:szCs w:val="24"/>
                <w:highlight w:val="none"/>
                <w:lang w:eastAsia="zh-CN"/>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%）专门面向中小企业（指产品制造商）采购，预留给小微企业（指产品制造商）的比例不低于项目预算总额的</w:t>
            </w: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w:t>
            </w:r>
            <w:r>
              <w:rPr>
                <w:rFonts w:hint="eastAsia" w:ascii="仿宋" w:hAnsi="仿宋" w:eastAsia="仿宋" w:cs="仿宋"/>
                <w:sz w:val="24"/>
                <w:szCs w:val="24"/>
                <w:highlight w:val="none"/>
                <w:lang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本采购文件其他章节有关分包使用的内容与本要求不一致的，以本要求为准，投标人对此如有疑问请联系代理机构咨询</w:t>
            </w:r>
          </w:p>
        </w:tc>
      </w:tr>
      <w:tr w14:paraId="2EA0A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255A439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523" w:type="dxa"/>
          </w:tcPr>
          <w:p w14:paraId="0B0DA2F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10.8-（1）</w:t>
            </w:r>
          </w:p>
        </w:tc>
        <w:tc>
          <w:tcPr>
            <w:tcW w:w="6285" w:type="dxa"/>
          </w:tcPr>
          <w:p w14:paraId="0BF38CC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投标有效期：投标截止时间起 90 个日历日。</w:t>
            </w:r>
          </w:p>
        </w:tc>
      </w:tr>
      <w:tr w14:paraId="019F6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0F30680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523" w:type="dxa"/>
          </w:tcPr>
          <w:p w14:paraId="7E58E95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12.1</w:t>
            </w:r>
          </w:p>
        </w:tc>
        <w:tc>
          <w:tcPr>
            <w:tcW w:w="6285" w:type="dxa"/>
          </w:tcPr>
          <w:p w14:paraId="34A298D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确定中标候选人名单：</w:t>
            </w:r>
          </w:p>
          <w:p w14:paraId="6D06F60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采购包1：3名</w:t>
            </w:r>
          </w:p>
        </w:tc>
      </w:tr>
      <w:tr w14:paraId="058701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7AF4880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523" w:type="dxa"/>
          </w:tcPr>
          <w:p w14:paraId="366F324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12.2</w:t>
            </w:r>
          </w:p>
        </w:tc>
        <w:tc>
          <w:tcPr>
            <w:tcW w:w="6285" w:type="dxa"/>
          </w:tcPr>
          <w:p w14:paraId="2148808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本项目中标人的确定（以采购包为单位）：</w:t>
            </w:r>
          </w:p>
          <w:p w14:paraId="594C280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 采购人应在政府采购招投标管理办法规定的时限内确定中标人。</w:t>
            </w:r>
          </w:p>
          <w:p w14:paraId="1370CC5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（2）若出现中标候选人并列情形，则按照下列方式确定中标人：</w:t>
            </w:r>
          </w:p>
          <w:p w14:paraId="31342A5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①招标文件规定的方式：</w:t>
            </w:r>
          </w:p>
          <w:p w14:paraId="7379A48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确定技术项总得分较高的中标候选人为中标人。若技术项总得分相同的，则采取随机抽取的方式确定。</w:t>
            </w:r>
          </w:p>
          <w:p w14:paraId="5B1B9D1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②若本款第①点规定方式为“无”，则按照下列方式确定：</w:t>
            </w:r>
          </w:p>
          <w:p w14:paraId="026583F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p w14:paraId="2FB5DEA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③若本款第①、②点规定方式均为“无”，则按照下列方式确定：随机抽取。</w:t>
            </w:r>
          </w:p>
          <w:p w14:paraId="26CAE62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（3）本项目确定的中标人家数：</w:t>
            </w:r>
          </w:p>
          <w:p w14:paraId="161D216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采购包1：1名</w:t>
            </w:r>
          </w:p>
        </w:tc>
      </w:tr>
      <w:tr w14:paraId="63F1B8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068FE2D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523" w:type="dxa"/>
          </w:tcPr>
          <w:p w14:paraId="7A5FBF4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w:t>
            </w:r>
          </w:p>
        </w:tc>
        <w:tc>
          <w:tcPr>
            <w:tcW w:w="6285" w:type="dxa"/>
          </w:tcPr>
          <w:p w14:paraId="6E849D5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合同签订时限： 自中标通知书发出之日起20个日历日内。</w:t>
            </w:r>
          </w:p>
        </w:tc>
      </w:tr>
      <w:tr w14:paraId="122AE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63EE21E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523" w:type="dxa"/>
          </w:tcPr>
          <w:p w14:paraId="6F6FF54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15.1-（2）</w:t>
            </w:r>
          </w:p>
        </w:tc>
        <w:tc>
          <w:tcPr>
            <w:tcW w:w="6285" w:type="dxa"/>
          </w:tcPr>
          <w:p w14:paraId="5B60B74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质疑函原件应采用下列方式提交：书面形式。</w:t>
            </w:r>
          </w:p>
        </w:tc>
      </w:tr>
      <w:tr w14:paraId="5694D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02BA96E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1523" w:type="dxa"/>
          </w:tcPr>
          <w:p w14:paraId="4E49F61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15.4</w:t>
            </w:r>
          </w:p>
        </w:tc>
        <w:tc>
          <w:tcPr>
            <w:tcW w:w="6285" w:type="dxa"/>
          </w:tcPr>
          <w:p w14:paraId="6D1D8A4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招标文件的质疑</w:t>
            </w:r>
          </w:p>
          <w:p w14:paraId="76C81AA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（1）潜在投标人可在质疑时效期间内对招标文件以书面形式提出质疑。</w:t>
            </w:r>
          </w:p>
          <w:p w14:paraId="4B4FF0E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（2）质疑时效期间：应在依法获取招标文件之日起7个工作日内向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提出，依法获取招标文件的时间以福建省政府采购网上公开信息系统记载的为准。</w:t>
            </w:r>
          </w:p>
          <w:p w14:paraId="4DCF99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※除上述规定外，对招标文件提出的质疑还应符合招标文件第三章第15.1条的有关规定。</w:t>
            </w:r>
          </w:p>
        </w:tc>
      </w:tr>
      <w:tr w14:paraId="03247A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6B825E9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1523" w:type="dxa"/>
          </w:tcPr>
          <w:p w14:paraId="36410F4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16.1</w:t>
            </w:r>
          </w:p>
        </w:tc>
        <w:tc>
          <w:tcPr>
            <w:tcW w:w="6285" w:type="dxa"/>
          </w:tcPr>
          <w:p w14:paraId="1D8DF71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监督管理部门： 厦门市财政局 （仅限依法进行政府采购的货物或服务类项目）。</w:t>
            </w:r>
          </w:p>
        </w:tc>
      </w:tr>
      <w:tr w14:paraId="63A487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403416A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523" w:type="dxa"/>
          </w:tcPr>
          <w:p w14:paraId="0CF0A7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18.1</w:t>
            </w:r>
          </w:p>
        </w:tc>
        <w:tc>
          <w:tcPr>
            <w:tcW w:w="6285" w:type="dxa"/>
          </w:tcPr>
          <w:p w14:paraId="1C7827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财政部和福建省财政厅指定的政府采购信息发布媒体（以下简称：“指定媒体”）：</w:t>
            </w:r>
          </w:p>
          <w:p w14:paraId="70FD38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（1）中国政府采购网，网址www.ccgp.gov.cn。</w:t>
            </w:r>
          </w:p>
          <w:p w14:paraId="2F118D0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（2）中国政府采购网福建分网（福建省政府采购网），网址zfcg.czt.fujian.gov.cn。</w:t>
            </w:r>
          </w:p>
          <w:p w14:paraId="0D0B655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※若出现上述指定媒体信息不一致情形，应以中国政府采购网福建分网（福建省政府采购网）发布的为准。</w:t>
            </w:r>
          </w:p>
        </w:tc>
      </w:tr>
      <w:tr w14:paraId="05A191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14" w:type="dxa"/>
          </w:tcPr>
          <w:p w14:paraId="4D5D7B6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1523" w:type="dxa"/>
          </w:tcPr>
          <w:p w14:paraId="119FCBC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w:t>
            </w:r>
          </w:p>
        </w:tc>
        <w:tc>
          <w:tcPr>
            <w:tcW w:w="6285" w:type="dxa"/>
          </w:tcPr>
          <w:p w14:paraId="7557DEC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其他事项：</w:t>
            </w:r>
          </w:p>
          <w:p w14:paraId="3088AC9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(1)本项目代理服务费：</w:t>
            </w:r>
          </w:p>
          <w:p w14:paraId="1D02499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本项目收取代理服务费</w:t>
            </w:r>
          </w:p>
          <w:p w14:paraId="699216D5">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代理服务费用收取对象：中标/成交</w:t>
            </w:r>
            <w:r>
              <w:rPr>
                <w:rFonts w:hint="eastAsia" w:ascii="仿宋" w:hAnsi="仿宋" w:eastAsia="仿宋" w:cs="仿宋"/>
                <w:sz w:val="24"/>
                <w:szCs w:val="24"/>
                <w:highlight w:val="none"/>
                <w:lang w:eastAsia="zh-CN"/>
              </w:rPr>
              <w:t>投标人</w:t>
            </w:r>
          </w:p>
          <w:p w14:paraId="6725662A">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代理服务费收费标准：（1）以单个采购包的中标总金额为准，按差额定率累进法计取，具体按以下标准计取：（0，100万元]，1.50%；（100万元，500万元]，1.10%；（500万元，1000万元]，0.80%；（1000万元，5000万元]；0.50%。（2）代理服务费由中标人在领取中标通知书的同时，以转账、电汇、现金存款等付款方式一次性缴清。（3）经评标委员会认定中标</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为中小企业的，中标后可享受代理服务费下浮10%的优惠。（4）因</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自身原因导致最终无法承接项目的，代理服务费不予退还。</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代理服务费缴交帐户信息： 账户名：福建省闽招咨询管理有限公司</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账号：429975687888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开户银行：中国银行福州市晋安支行</w:t>
            </w:r>
            <w:r>
              <w:rPr>
                <w:rFonts w:hint="eastAsia" w:ascii="仿宋" w:hAnsi="仿宋" w:eastAsia="仿宋" w:cs="仿宋"/>
                <w:sz w:val="24"/>
                <w:szCs w:val="24"/>
                <w:highlight w:val="none"/>
                <w:lang w:eastAsia="zh-CN"/>
              </w:rPr>
              <w:t>。</w:t>
            </w:r>
          </w:p>
          <w:p w14:paraId="7731C0E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(2)其他：</w:t>
            </w:r>
          </w:p>
          <w:p w14:paraId="3F1A36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本项目招标文件第五章增加补充条款，补充条款内容与招标文件其他地方内容不一致的，以补充条款内容为准。请投标人仔细阅读。</w:t>
            </w:r>
          </w:p>
        </w:tc>
      </w:tr>
      <w:tr w14:paraId="4BA6CA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237" w:type="dxa"/>
            <w:gridSpan w:val="2"/>
          </w:tcPr>
          <w:p w14:paraId="6D4A460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285" w:type="dxa"/>
          </w:tcPr>
          <w:p w14:paraId="28448ED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后有投标人须知前附表2，请勿遗漏。</w:t>
            </w:r>
          </w:p>
        </w:tc>
      </w:tr>
    </w:tbl>
    <w:p w14:paraId="27942732">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二、投标人须知前附表2</w:t>
      </w:r>
    </w:p>
    <w:tbl>
      <w:tblPr>
        <w:tblStyle w:val="4"/>
        <w:tblW w:w="856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90"/>
        <w:gridCol w:w="7470"/>
      </w:tblGrid>
      <w:tr w14:paraId="282C68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560" w:type="dxa"/>
            <w:gridSpan w:val="2"/>
          </w:tcPr>
          <w:p w14:paraId="58E643F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关于电子招标投标活动的专门规定</w:t>
            </w:r>
          </w:p>
        </w:tc>
      </w:tr>
      <w:tr w14:paraId="520C7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0" w:type="dxa"/>
          </w:tcPr>
          <w:p w14:paraId="246F3B6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7470" w:type="dxa"/>
          </w:tcPr>
          <w:p w14:paraId="34F3DB8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编列内容</w:t>
            </w:r>
          </w:p>
        </w:tc>
      </w:tr>
      <w:tr w14:paraId="5CE90E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90" w:type="dxa"/>
          </w:tcPr>
          <w:p w14:paraId="0F9F41F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7470" w:type="dxa"/>
          </w:tcPr>
          <w:p w14:paraId="4002921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（1）电子招标投标活动的专门规定适用本项目电子招标投标活动。</w:t>
            </w:r>
          </w:p>
          <w:p w14:paraId="3C906F9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（2）将招标文件</w:t>
            </w:r>
          </w:p>
          <w:p w14:paraId="4216CD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 的内容修正为下列内容：</w:t>
            </w:r>
          </w:p>
          <w:p w14:paraId="180A656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 后适用本项目的电子招标投标活动。</w:t>
            </w:r>
          </w:p>
          <w:p w14:paraId="00FDEB2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（3）将下列内容增列为招标文件的组成部分（以下简称：“增列内容”）适用本项目的电子招标投标活动，若增列内容与招标文件其他章节内容有冲突，应以增列内容为准：</w:t>
            </w:r>
          </w:p>
          <w:p w14:paraId="78CDE73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①电子招标投标活动的具体操作流程以福建省政府采购网上公开信息系统设定的为准。</w:t>
            </w:r>
          </w:p>
          <w:p w14:paraId="45F302F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②关于电子投标文件：</w:t>
            </w:r>
          </w:p>
          <w:p w14:paraId="44ADA05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a.投标人应按照福建省政府采购网上公开信息系统设定的评审节点编制电子投标文件，否则资格审查小组、评标委员会将按照不利于投标人的内容进行认定。</w:t>
            </w:r>
          </w:p>
          <w:p w14:paraId="049D82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14:paraId="5A7315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③关于证明材料或资料：</w:t>
            </w:r>
          </w:p>
          <w:p w14:paraId="2EDA40F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63236C8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b.若投标人提供注明“复印件无效”或“复印无效”的证明材料或资料，应结合上文a条款进行判定，若招标文件未要求投标人提供原件，投标人提供原件，复印件（含扫描件）均视为满足招标文件要求。</w:t>
            </w:r>
          </w:p>
          <w:p w14:paraId="2BD720C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④关于“全称”、“投标人代表签字”及“加盖单位公章”：</w:t>
            </w:r>
          </w:p>
          <w:p w14:paraId="580C655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a.在电子投标文件中，涉及“全称”和“投标人代表签字”的内容可使用打字录入方式完成。</w:t>
            </w:r>
          </w:p>
          <w:p w14:paraId="5E0255E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b.在电子投标文件中，涉及“加盖单位公章”的内容应使用投标人的CA证书完成，否则投标无效。</w:t>
            </w:r>
          </w:p>
          <w:p w14:paraId="4C5EA20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c.在电子投标文件中，若投标人按照本增列内容第④点第b项规定加盖其单位公章，则出现无全称、或投标人代表未签字等情形，不视为投标无效。</w:t>
            </w:r>
          </w:p>
          <w:p w14:paraId="0E93484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⑤关于投标人的CA证书：</w:t>
            </w:r>
          </w:p>
          <w:p w14:paraId="0785761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a.投标人的CA证书应在系统规定时间内使用CA证书进行电子投标文件的解密操作，逾期未解密的视为放弃投标。</w:t>
            </w:r>
          </w:p>
          <w:p w14:paraId="196C464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b.投标人的CA证书可采用信封（包括但不限于：信封、档案袋、文件袋等）作为外包装进行单独包装。外包装密封、不密封皆可。</w:t>
            </w:r>
          </w:p>
          <w:p w14:paraId="1DB5CF6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c.投标人的CA证书或外包装应标记“项目名称、项目编号、投标人的全称”等内容，以方便识别、使用。</w:t>
            </w:r>
          </w:p>
          <w:p w14:paraId="439A9C9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d.投标人的CA证书应能正常、有效使用，否则产生不利后果由投标人承担责任。</w:t>
            </w:r>
          </w:p>
          <w:p w14:paraId="367D1B8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⑥关于投标截止时间过后</w:t>
            </w:r>
          </w:p>
          <w:p w14:paraId="203BC58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a.未按招标文件规定提交投标保证金的，其投标将按无效投标处理。</w:t>
            </w:r>
          </w:p>
          <w:p w14:paraId="58C2D97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b.有下列情形之一的，其投标无效,其保证金不予退还或通过投标保函进行索赔：</w:t>
            </w:r>
          </w:p>
          <w:p w14:paraId="4A1DEDC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b1不同投标人的电子投标文件具有相同内部识别码；</w:t>
            </w:r>
          </w:p>
          <w:p w14:paraId="1C04685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b2不同投标人的投标保证金从同一单位或个人的账户转出；</w:t>
            </w:r>
          </w:p>
          <w:p w14:paraId="7CB3DE6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b3投标人的投标保证金同一采购包下有其他投标人提交的投标保证金；</w:t>
            </w:r>
          </w:p>
          <w:p w14:paraId="5BF0A2B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b4不同投标人存在串通投标的其他情形。</w:t>
            </w:r>
          </w:p>
          <w:p w14:paraId="6C7DD1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⑦接受联合体投标且投标人为联合体的，投标人应由“联合体牵头方”完成福建省政府采购网上公开信息系统设定的具体操作流程（包括但不限于：招标文件获取、提交投标保证金、编制电子投标文件等）。</w:t>
            </w:r>
          </w:p>
          <w:p w14:paraId="7233ABA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⑧其他：</w:t>
            </w:r>
          </w:p>
          <w:p w14:paraId="1225CF9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根据《福建省财政厅关于废止部分行政规范性文件的通知》（闽财规〔2023〕29号）规定，取消投标文件资格及资信证明部分、技术商务部分中不得出现报价内容的要求。</w:t>
            </w:r>
          </w:p>
        </w:tc>
      </w:tr>
    </w:tbl>
    <w:p w14:paraId="662CE34A">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568AA2D7">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第三章 投标人须知</w:t>
      </w:r>
    </w:p>
    <w:p w14:paraId="5564BEA8">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一、总则</w:t>
      </w:r>
    </w:p>
    <w:p w14:paraId="45299AE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1、适用范围</w:t>
      </w:r>
    </w:p>
    <w:p w14:paraId="4E88CAC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1.1适用于招标文件载明项目的政府采购活动（以下简称：“本次采购活动”）。</w:t>
      </w:r>
    </w:p>
    <w:p w14:paraId="32DE89C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2、定义</w:t>
      </w:r>
    </w:p>
    <w:p w14:paraId="6586C09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2.1“采购标的”指招标文件载明的需要采购的货物或服务。</w:t>
      </w:r>
    </w:p>
    <w:p w14:paraId="2B64DA5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2.2“潜在投标人”指按照招标文件第一章第7条规定获取招标文件且有意向参加本项目投标的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w:t>
      </w:r>
    </w:p>
    <w:p w14:paraId="1CD9D07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2.3“投标人”指按照招标文件第一章第7条规定获取招标文件并参加本项目投标的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w:t>
      </w:r>
    </w:p>
    <w:p w14:paraId="1A0A091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2.4“单位负责人”指单位法定代表人或法律、法规规定代表单位行使职权的主要负责人。</w:t>
      </w:r>
    </w:p>
    <w:p w14:paraId="7760FA8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2.5“投标人代表”指投标人的单位负责人或“单位负责人授权书”中载明的接受授权方。</w:t>
      </w:r>
    </w:p>
    <w:p w14:paraId="7118EF52">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二、投标人</w:t>
      </w:r>
    </w:p>
    <w:p w14:paraId="439BFBD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3、合格投标人</w:t>
      </w:r>
    </w:p>
    <w:p w14:paraId="54926C0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3.1一般规定</w:t>
      </w:r>
    </w:p>
    <w:p w14:paraId="10E4905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14:paraId="5175ED1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投标人对提供福建省政府采购</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4AD0FEC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（2）投标人的资格要求：详见招标文件第一章。</w:t>
      </w:r>
    </w:p>
    <w:p w14:paraId="33B52A2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3.2若本项目接受联合体投标且投标人为联合体，则联合体各方应遵守本章第3.1条规定，同时还应遵守下列规定：</w:t>
      </w:r>
    </w:p>
    <w:p w14:paraId="5CBB7E5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（1）联合体各方应提交联合体协议，联合体协议应符合招标文件规定。</w:t>
      </w:r>
    </w:p>
    <w:p w14:paraId="783F340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（2）联合体各方不得再单独参加或与其他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另外组成联合体参加同一合同项下的投标。</w:t>
      </w:r>
    </w:p>
    <w:p w14:paraId="695C112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（3）联合体各方应共同与采购人签订政府采购合同，就政府采购合同约定的事项对采购人承担连带责任。</w:t>
      </w:r>
    </w:p>
    <w:p w14:paraId="4D66711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（4）项目如涉及资质要求，该部分工作内容应由联合体中符合该资质要求的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承担，联合体协议及签订的采购合同应符合这一要求；联合体中有同类资质的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按照联合体分工承担相同工作的，应当按照资质等级较低的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确定资质等级。</w:t>
      </w:r>
    </w:p>
    <w:p w14:paraId="6AD857D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（5）联合体一方放弃中标的，视为联合体整体放弃中标，联合体各方承担连带责任。</w:t>
      </w:r>
    </w:p>
    <w:p w14:paraId="216FA9F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（6）如本项目不接受联合体投标而投标人为联合体的，或者本项目接受联合体投标但投标人组成的联合体不符合本章第3.2条规定的，投标无效。</w:t>
      </w:r>
    </w:p>
    <w:p w14:paraId="1340220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4、投标费用</w:t>
      </w:r>
    </w:p>
    <w:p w14:paraId="1703BEF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4.1除招标文件另有规定外，投标人应自行承担其参加本项目投标所涉及的一切费用。</w:t>
      </w:r>
    </w:p>
    <w:p w14:paraId="0730C3AD">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三、招标</w:t>
      </w:r>
    </w:p>
    <w:p w14:paraId="016F8EB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5、招标文件</w:t>
      </w:r>
    </w:p>
    <w:p w14:paraId="6EEB20B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5.1招标文件由下述部分组成：</w:t>
      </w:r>
    </w:p>
    <w:p w14:paraId="6F76B02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（1）投标邀请</w:t>
      </w:r>
    </w:p>
    <w:p w14:paraId="779E0CD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（2）投标人须知前附表（表1、2）</w:t>
      </w:r>
    </w:p>
    <w:p w14:paraId="1FDE398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（3）投标人须知</w:t>
      </w:r>
    </w:p>
    <w:p w14:paraId="719F380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（4）资格审查与评标</w:t>
      </w:r>
    </w:p>
    <w:p w14:paraId="4BF38A8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（5）招标内容及要求</w:t>
      </w:r>
    </w:p>
    <w:p w14:paraId="4E1AC65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（6）政府采购合同（参考文本）</w:t>
      </w:r>
    </w:p>
    <w:p w14:paraId="0E3B2E0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（7）电子投标文件格式</w:t>
      </w:r>
    </w:p>
    <w:p w14:paraId="5CBED52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（8）按照招标文件规定作为招标文件组成部分的其他内容（若有）</w:t>
      </w:r>
    </w:p>
    <w:p w14:paraId="4342941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5.2招标文件的澄清或修改</w:t>
      </w:r>
    </w:p>
    <w:p w14:paraId="662C9C9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可对已发出的招标文件进行必要的澄清或修改，但不得对招标文件载明的采购标的和投标人的资格要求进行改变。</w:t>
      </w:r>
    </w:p>
    <w:p w14:paraId="063BC39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（2）除本章第5.2条第（3）款规定情形外，澄清或修改的内容可能影响电子投标文件编制的，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将在投标截止时间至少15个日历日前，在招标文件载明的指定媒体以更正公告的形式发布澄清或修改的内容。不足15个日历日的，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将顺延投标截止时间及开标时间，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和投标人受原投标截止时间及开标时间制约的所有权利和义务均延长至新的投标截止时间及开标时间。</w:t>
      </w:r>
    </w:p>
    <w:p w14:paraId="0572523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（3）澄清或修改的内容可能改变招标文件载明的采购标的和投标人的资格要求的，本次采购活动结束，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将依法组织后续采购活动（包括但不限于：重新招标、采用其他方式采购等）。</w:t>
      </w:r>
    </w:p>
    <w:p w14:paraId="1DA7F96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6、现场考察或开标前答疑会</w:t>
      </w:r>
    </w:p>
    <w:p w14:paraId="0493396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6.1是否组织现场考察或召开开标前答疑会：详见招标文件第二章。</w:t>
      </w:r>
    </w:p>
    <w:p w14:paraId="4152087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7、更正公告</w:t>
      </w:r>
    </w:p>
    <w:p w14:paraId="20E9EA2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7.1若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发布更正公告，则更正公告及其所发布的内容或信息（包括但不限于：招标文件的澄清或修改、现场考察或答疑会的有关事宜等）作为招标文件组成部分，对投标人具有约束力。</w:t>
      </w:r>
    </w:p>
    <w:p w14:paraId="7ACFC2B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7.2更正公告作为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通知所有潜在投标人的书面形式。</w:t>
      </w:r>
    </w:p>
    <w:p w14:paraId="6F1ABEC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8、终止公告</w:t>
      </w:r>
    </w:p>
    <w:p w14:paraId="64749A1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8.1若出现因重大变故导致采购任务取消情形，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可终止招标并发布终止公告。</w:t>
      </w:r>
    </w:p>
    <w:p w14:paraId="6D398E4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8.2终止公告作为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通知所有潜在投标人的书面形式。</w:t>
      </w:r>
    </w:p>
    <w:p w14:paraId="0230202D">
      <w:pPr>
        <w:pStyle w:val="7"/>
        <w:ind w:firstLine="480"/>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四、投标</w:t>
      </w:r>
    </w:p>
    <w:p w14:paraId="3DF2996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9、投标</w:t>
      </w:r>
    </w:p>
    <w:p w14:paraId="1880719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9.1投标人可对招标文件载明的全部或部分采购包进行投标。</w:t>
      </w:r>
    </w:p>
    <w:p w14:paraId="7460E79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9.2投标人应对同一个采购包内的所有内容进行完整投标，否则投标无效。</w:t>
      </w:r>
    </w:p>
    <w:p w14:paraId="286C9DB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9.3投标人代表只能接受一个投标人的授权参加投标，否则投标无效。</w:t>
      </w:r>
    </w:p>
    <w:p w14:paraId="1CA10E2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9.4单位负责人为同一人或存在直接控股、管理关系的不同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，不得同时参加同一合同项下的投标，否则投标无效。</w:t>
      </w:r>
    </w:p>
    <w:p w14:paraId="45ED9D5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9.5为本项目提供整体设计、规范编制或项目管理、监理、检测等服务的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，不得参加本项目除整体设计、规范编制和项目管理、监理、检测等服务外的采购活动，否则投标无效。</w:t>
      </w:r>
    </w:p>
    <w:p w14:paraId="2E28CD2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9.6列入失信被执行人、重大税收违法案件当事人名单、政府采购严重违法失信行为记录名单及其他不符合政府采购法第二十二条规定条件的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，不得参加投标，否则投标无效。</w:t>
      </w:r>
    </w:p>
    <w:p w14:paraId="79FC7FB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9.7有下列情形之一的，视为投标人串通投标，其投标无效：</w:t>
      </w:r>
    </w:p>
    <w:p w14:paraId="086EB59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（1）不同投标人的电子投标文件由同一单位或个人编制；</w:t>
      </w:r>
    </w:p>
    <w:p w14:paraId="3CCBE7F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（2）不同投标人委托同一单位或个人办理投标事宜；</w:t>
      </w:r>
    </w:p>
    <w:p w14:paraId="04B9E44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（3）不同投标人的电子投标文件载明的项目管理成员或联系人员为同一人；</w:t>
      </w:r>
    </w:p>
    <w:p w14:paraId="7D35FF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（4）不同投标人的电子投标文件异常一致或投标报价呈规律性差异；</w:t>
      </w:r>
    </w:p>
    <w:p w14:paraId="3A3A2AB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（5）不同投标人的电子投标文件相互混装；</w:t>
      </w:r>
    </w:p>
    <w:p w14:paraId="33E6C24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（6）不同投标人的投标保证金从同一单位或个人的账户转出；</w:t>
      </w:r>
    </w:p>
    <w:p w14:paraId="216EF46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（7）有关法律、法规和规章及招标文件规定的其他串通投标情形。</w:t>
      </w:r>
    </w:p>
    <w:p w14:paraId="0A4BA34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10、电子投标文件</w:t>
      </w:r>
    </w:p>
    <w:p w14:paraId="01C446A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10.1电子投标文件的编制</w:t>
      </w:r>
    </w:p>
    <w:p w14:paraId="2BA497A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（1）投标人应先仔细阅读招标文件的全部内容后，再进行电子投标文件的编制。</w:t>
      </w:r>
    </w:p>
    <w:p w14:paraId="13E005A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（2）电子投标文件应按照本章第10.2条规定编制其组成部分。</w:t>
      </w:r>
    </w:p>
    <w:p w14:paraId="335CAA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（3）电子投标文件应满足招标文件提出的实质性要求和条件，并保证其所提交的全部资料是不可割离且真实、有效、准确、完整和不具有任何误导性的，否则造成不利后果由投标人承担责任。</w:t>
      </w:r>
    </w:p>
    <w:p w14:paraId="7DA5F3C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10.2电子投标文件由下述部分组成：</w:t>
      </w:r>
    </w:p>
    <w:p w14:paraId="079B219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（1）资格及资信证明部分</w:t>
      </w:r>
    </w:p>
    <w:p w14:paraId="05B68E9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①投标函</w:t>
      </w:r>
    </w:p>
    <w:p w14:paraId="3382518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②投标人的资格及资信证明文件</w:t>
      </w:r>
    </w:p>
    <w:p w14:paraId="1888749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③投标保证金</w:t>
      </w:r>
    </w:p>
    <w:p w14:paraId="2CF8112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（2）报价部分</w:t>
      </w:r>
    </w:p>
    <w:p w14:paraId="4D4C1DD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①开标（报价）一览表</w:t>
      </w:r>
    </w:p>
    <w:p w14:paraId="368A2C6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②投标（响应）报价明细表</w:t>
      </w:r>
    </w:p>
    <w:p w14:paraId="0544D10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③招标文件规定的价格扣除证明材料（若有）</w:t>
      </w:r>
    </w:p>
    <w:p w14:paraId="78BAE75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④招标文件规定的加分证明材料（若有）</w:t>
      </w:r>
    </w:p>
    <w:p w14:paraId="5C6549B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（3）技术商务部分</w:t>
      </w:r>
    </w:p>
    <w:p w14:paraId="2B9AA72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①标的说明一览表</w:t>
      </w:r>
    </w:p>
    <w:p w14:paraId="708A80E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②技术和服务要求响应表</w:t>
      </w:r>
    </w:p>
    <w:p w14:paraId="54756D0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③商务条件响应表</w:t>
      </w:r>
    </w:p>
    <w:p w14:paraId="7E7478D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④投标人提交的其他资料（若有）</w:t>
      </w:r>
    </w:p>
    <w:p w14:paraId="3A76BDD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⑤招标文件规定作为电子投标文件组成部分的其他内容（若有）</w:t>
      </w:r>
    </w:p>
    <w:p w14:paraId="7E32199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10.3电子投标文件的语言</w:t>
      </w:r>
    </w:p>
    <w:p w14:paraId="668510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（1）除招标文件另有规定外，电子投标文件应使用中文文本，若有不同文本，以中文文本为准。</w:t>
      </w:r>
    </w:p>
    <w:p w14:paraId="373E68F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1C11209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10.4投标文件的份数：详见招标文件第二章。</w:t>
      </w:r>
    </w:p>
    <w:p w14:paraId="40347E6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10.5电子投标文件的格式</w:t>
      </w:r>
    </w:p>
    <w:p w14:paraId="02986C6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（1）除招标文件另有规定外，电子投标文件应使用招标文件第七章规定的格式。</w:t>
      </w:r>
    </w:p>
    <w:p w14:paraId="1173830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（2）除招标文件另有规定外，电子投标文件应使用不能擦去的墨料或墨水打印、书写或复印。</w:t>
      </w:r>
    </w:p>
    <w:p w14:paraId="3D11AB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（3）除招标文件另有规定外，电子投标文件应使用人民币作为计量货币。</w:t>
      </w:r>
    </w:p>
    <w:p w14:paraId="30B07C5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（4）除招标文件另有规定外，签署、盖章应遵守下列规定：</w:t>
      </w:r>
    </w:p>
    <w:p w14:paraId="77126A5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①电子投标文件应加盖投标人的单位公章。若投标人代表为单位授权的委托代理人，应提供“单位授权书”。</w:t>
      </w:r>
    </w:p>
    <w:p w14:paraId="6337E09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②电子投标文件应没有涂改或行间插字，除非这些改动是根据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的指示进行的，或是为改正投标人造成的应修改的错误而进行的。若有前述改动，应按照下列规定之一对改动处进行处理：</w:t>
      </w:r>
    </w:p>
    <w:p w14:paraId="32EF759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a.投标人代表签字确认；</w:t>
      </w:r>
    </w:p>
    <w:p w14:paraId="460E4B6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b.加盖投标人的单位公章或校正章。</w:t>
      </w:r>
    </w:p>
    <w:p w14:paraId="3349226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10.6投标报价</w:t>
      </w:r>
    </w:p>
    <w:p w14:paraId="40C9F95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（1）投标报价超出最高限价将导致投标无效。</w:t>
      </w:r>
    </w:p>
    <w:p w14:paraId="16A625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（2）最高限价由采购人根据价格测算情况，在预算金额的额度内合理设定。最高限价不得超出预算金额。</w:t>
      </w:r>
    </w:p>
    <w:p w14:paraId="73966F1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（3）除招标文件另有规定外，电子投标文件不能出现任何选择性的投标报价，即每一个采购包和品目号的采购标的都只能有一个投标报价。任何选择性的投标报价将导致投标无效。</w:t>
      </w:r>
    </w:p>
    <w:p w14:paraId="10C3686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10.7分包</w:t>
      </w:r>
    </w:p>
    <w:p w14:paraId="0D8EFF4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（1）是否允许中标人将本项目的非主体、非关键性工作进行分包：详见招标文件第二章。</w:t>
      </w:r>
    </w:p>
    <w:p w14:paraId="2D32ADE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14:paraId="188FA9C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（3）招标文件允许中标人将非主体、非关键性工作进行分包的项目，有下列情形之一的，中标人不得分包：</w:t>
      </w:r>
    </w:p>
    <w:p w14:paraId="32655E6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①电子投标文件中未载明分包承担主体；</w:t>
      </w:r>
    </w:p>
    <w:p w14:paraId="58433B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②电子投标文件载明的分包承担主体不具备相应资质条件；</w:t>
      </w:r>
    </w:p>
    <w:p w14:paraId="0E7C28C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③电子投标文件载明的分包承担主体拟再次分包；</w:t>
      </w:r>
    </w:p>
    <w:p w14:paraId="5EF01B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④享受中小企业扶持政策获得政府采购合同的，小微企业不得将合同分包给大中型企业，中型企业不得将合同分包给大型企业。</w:t>
      </w:r>
    </w:p>
    <w:p w14:paraId="47AD75D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10.8投标有效期</w:t>
      </w:r>
    </w:p>
    <w:p w14:paraId="1EDA5F3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（1）招标文件载明的投标有效期：详见招标文件第二章。</w:t>
      </w:r>
    </w:p>
    <w:p w14:paraId="031A782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（2）电子投标文件承诺的投标有效期不得少于招标文件载明的投标有效期，否则投标无效。</w:t>
      </w:r>
    </w:p>
    <w:p w14:paraId="2980D3E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（3）根据本次采购活动的需要，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可于投标有效期届满之前书面要求投标人延长投标有效期，投标人应在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14:paraId="4C81A06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10.9投标保证金</w:t>
      </w:r>
    </w:p>
    <w:p w14:paraId="5D30203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（1）投标保证金作为投标人按照招标文件规定履行相应投标责任、义务的约束及担保。</w:t>
      </w:r>
    </w:p>
    <w:p w14:paraId="3879979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（2）投标人以电子保函形式提交投标保证金的，保函的有效期应等于或长于电子投标文件承诺的投标有效期，否则投标无效。</w:t>
      </w:r>
    </w:p>
    <w:p w14:paraId="23F35FC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（3）提交</w:t>
      </w:r>
    </w:p>
    <w:p w14:paraId="0B964FA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①投标人以汇款形式缴纳投标保证金的，应从其银行账户（基本存款账户）按照下列方式：公对公转账方式向招标文件载明的投标保证金账户提交投标保证金，具体金额详见招标文件第一章。</w:t>
      </w:r>
    </w:p>
    <w:p w14:paraId="0CB64B6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14:paraId="4E531F0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③其他形式：</w:t>
      </w:r>
    </w:p>
    <w:p w14:paraId="64E4585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p w14:paraId="1181AC1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④若本项目接受联合体投标且投标人为联合体，则联合体中的牵头方应按照本章第10.9条第（3）款第①、②、③点规定提交投标保证金。</w:t>
      </w:r>
    </w:p>
    <w:p w14:paraId="7B1FEB6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※除招标文件另有规定外，未按照上述规定提交投标保证金将导致资格审查不合格。</w:t>
      </w:r>
    </w:p>
    <w:p w14:paraId="6937317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（4）退还</w:t>
      </w:r>
    </w:p>
    <w:p w14:paraId="6636779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①在投标截止时间前撤回已提交的电子投标文件的投标人，其投标保证金将在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收到投标人书面撤回通知之日起5个工作日内退回原账户。</w:t>
      </w:r>
    </w:p>
    <w:p w14:paraId="22F7743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②未中标人的投标保证金将在中标通知书发出之日起5个工作日内退回原账户。</w:t>
      </w:r>
    </w:p>
    <w:p w14:paraId="0FC5D80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③中标人的投标保证金将在政府采购合同签订之日起5个工作日内退回原账户；合同签订之日以福建省政府采购网上公开信息系统记载的为准。</w:t>
      </w:r>
    </w:p>
    <w:p w14:paraId="1058696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④终止招标的，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将在终止公告发布之日起5个工作日内退回已收取的投标保证金及其在银行产生的孳息。</w:t>
      </w:r>
    </w:p>
    <w:p w14:paraId="61B1453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⑤除招标文件另有规定外，质疑或投诉涉及的投标人，若投标保证金尚未退还，则待质疑或投诉处理完毕后不计利息原额退还。</w:t>
      </w:r>
    </w:p>
    <w:p w14:paraId="422F123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※本章第10.9条第（4）款第①、②、③点规定的投标保证金退还时限不包括因投标人自身原因导致无法及时退还而增加的时间。</w:t>
      </w:r>
    </w:p>
    <w:p w14:paraId="7999B39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14:paraId="6355850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（6）有下列情形之一的，投标保证金将不予退还或通过投标保函进行索赔：</w:t>
      </w:r>
    </w:p>
    <w:p w14:paraId="527AE4C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①投标人串通投标；</w:t>
      </w:r>
    </w:p>
    <w:p w14:paraId="7A4B2E5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②投标人提供虚假材料；</w:t>
      </w:r>
    </w:p>
    <w:p w14:paraId="3B38F77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③投标人采取不正当手段诋毁、排挤其他投标人；</w:t>
      </w:r>
    </w:p>
    <w:p w14:paraId="314AAA3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④投标截止时间后，投标人在投标有效期内撤销电子投标文件；</w:t>
      </w:r>
    </w:p>
    <w:p w14:paraId="755E7C7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⑤招标文件规定的其他不予退还情形；</w:t>
      </w:r>
    </w:p>
    <w:p w14:paraId="066B308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⑥中标人有下列情形之一的：</w:t>
      </w:r>
    </w:p>
    <w:p w14:paraId="3190C8D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a.除不可抗力外，因中标人自身原因未在中标通知书要求的期限内与采购人签订政府采购合同；</w:t>
      </w:r>
    </w:p>
    <w:p w14:paraId="195E96F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b.未按照招标文件、投标文件的约定签订政府采购合同或提交履约保证金。</w:t>
      </w:r>
    </w:p>
    <w:p w14:paraId="736FF7E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※若上述投标保证金不予退还情形给采购人（采购代理机构）造成损失，则投标人还要承担相应的赔偿责任。</w:t>
      </w:r>
    </w:p>
    <w:p w14:paraId="5F636AA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10.10电子投标文件的提交</w:t>
      </w:r>
    </w:p>
    <w:p w14:paraId="5A94158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（1）一个投标人只能提交一个电子投标文件，并按照招标文件第一章规定在系统上完成上传、解密操作。</w:t>
      </w:r>
    </w:p>
    <w:p w14:paraId="22F2B38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10.11电子投标文件的补充、修改或撤回</w:t>
      </w:r>
    </w:p>
    <w:p w14:paraId="1DF524E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（1）投标截止时间前，投标人可对所提交的电子投标文件进行补充、修改或撤回，并书面通知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w:t>
      </w:r>
    </w:p>
    <w:p w14:paraId="00CCA4C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（2）补充、修改的内容应按照本章第10.5条第（4）款规定进行签署、盖章，并按照本章第10.10条规定提交，否则将被拒收。</w:t>
      </w:r>
    </w:p>
    <w:p w14:paraId="06727B4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※按照上述规定提交的补充、修改内容作为电子投标文件组成部分。</w:t>
      </w:r>
    </w:p>
    <w:p w14:paraId="40585F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10.12除招标文件另有规定外，有下列情形之一的，投标无效：</w:t>
      </w:r>
    </w:p>
    <w:p w14:paraId="7F22F60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（1）电子投标文件未按照招标文件要求签署、盖章；</w:t>
      </w:r>
    </w:p>
    <w:p w14:paraId="3B5B827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（2）不符合招标文件中规定的资格要求；</w:t>
      </w:r>
    </w:p>
    <w:p w14:paraId="70675E8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（3）投标报价超过招标文件中规定的预算金额或最高限价；</w:t>
      </w:r>
    </w:p>
    <w:p w14:paraId="50CD2C1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（4）电子投标文件含有采购人不能接受的附加条件；</w:t>
      </w:r>
    </w:p>
    <w:p w14:paraId="345B30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（5）有关法律、法规和规章及招标文件规定的其他无效情形。</w:t>
      </w:r>
    </w:p>
    <w:p w14:paraId="1A1B9984">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五、开标</w:t>
      </w:r>
    </w:p>
    <w:p w14:paraId="290CD2F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11、开标</w:t>
      </w:r>
    </w:p>
    <w:p w14:paraId="6659027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11.1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将在招标文件载明的开标时间及地点主持召开开标会，并邀请投标人参加。</w:t>
      </w:r>
    </w:p>
    <w:p w14:paraId="1D957DF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11.2开标会的主持人、唱标人、记录人及其他工作人员（若有）均由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派出，现场监督人员（若有）可由有关方面派出。</w:t>
      </w:r>
    </w:p>
    <w:p w14:paraId="34418BC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14:paraId="165799A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11.4开标会应遵守下列规定：</w:t>
      </w:r>
    </w:p>
    <w:p w14:paraId="71CF59A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14:paraId="572EADD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14:paraId="171376F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（3）唱标结束后，参加现场开标会的投标人代表应对开标记录进行签字确认，通过远程参与开标流程的投标人须在系统远程签章开启后，在系统规定时间内对开标结果进行签章确认。</w:t>
      </w:r>
    </w:p>
    <w:p w14:paraId="78DE920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14:paraId="4F5F256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（5）若投标人未到开标现场参加开标会，也未通过远程参加开标会的，视同认可开标结果。</w:t>
      </w:r>
    </w:p>
    <w:p w14:paraId="333F9E1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提出任何疑义或要求（包括质疑）。</w:t>
      </w:r>
    </w:p>
    <w:p w14:paraId="7DBFDEF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11.5投标截止时间后，参加投标的投标人不足三家的，不进行开标。同时，本次采购活动结束，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将依法组织后续采购活动（包括但不限于：重新招标、采用其他方式采购等）。</w:t>
      </w:r>
    </w:p>
    <w:p w14:paraId="171D0C6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11.6投标截止时间后撤销投标的处理</w:t>
      </w:r>
    </w:p>
    <w:p w14:paraId="7DF4473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投标截止时间后，投标人在投标有效期内撤销投标的，其撤销投标的行为无效。</w:t>
      </w:r>
    </w:p>
    <w:p w14:paraId="0720E1A3">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六、中标与政府采购合同</w:t>
      </w:r>
    </w:p>
    <w:p w14:paraId="7F3FB9F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12、中标</w:t>
      </w:r>
    </w:p>
    <w:p w14:paraId="4F6B404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12.1本项目推荐的中标候选人家数：详见招标文件第二章。</w:t>
      </w:r>
    </w:p>
    <w:p w14:paraId="2A99290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12.2本项目中标人的确定：详见招标文件第二章。</w:t>
      </w:r>
    </w:p>
    <w:p w14:paraId="2AF6BB4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12.3中标公告</w:t>
      </w:r>
    </w:p>
    <w:p w14:paraId="27E6F49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（1）中标人确定之日起2个工作日内，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将在招标文件载明的指定媒体以中标公告的形式发布中标结果。</w:t>
      </w:r>
    </w:p>
    <w:p w14:paraId="5757961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（2）中标公告的公告期限为1个工作日。</w:t>
      </w:r>
    </w:p>
    <w:p w14:paraId="257E91A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12.4中标通知书</w:t>
      </w:r>
    </w:p>
    <w:p w14:paraId="56CCA1F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（1）中标公告发布的同时，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将向中标人发出中标通知书。</w:t>
      </w:r>
    </w:p>
    <w:p w14:paraId="4595E63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（2）中标通知书发出后，采购人不得违法改变中标结果，中标人无正当理由不得放弃中标。</w:t>
      </w:r>
    </w:p>
    <w:p w14:paraId="4DE6918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13、政府采购合同</w:t>
      </w:r>
    </w:p>
    <w:p w14:paraId="226FB72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13.1签订政府采购合同应遵守政府采购法及实施条例的规定，不得对招标文件确定的事项和中标人的电子投标文件作实质性修改。采购人不得向中标人提出任何不合理的要求作为政府采购合同的签订条件。</w:t>
      </w:r>
    </w:p>
    <w:p w14:paraId="0FB960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13.2签订时限：详见须知前附表1的13.2。</w:t>
      </w:r>
    </w:p>
    <w:p w14:paraId="6F17C81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13.3政府采购合同的履行、违约责任和解决争议的方法等适用民法典。</w:t>
      </w:r>
    </w:p>
    <w:p w14:paraId="022D74E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13.4采购人与中标人应根据政府采购合同的约定依法履行合同义务。</w:t>
      </w:r>
    </w:p>
    <w:p w14:paraId="7E6C5B5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13.5政府采购合同履行过程中，采购人若需追加与合同标的相同的货物或服务，则追加采购金额不得超过原合同采购金额的10%。</w:t>
      </w:r>
    </w:p>
    <w:p w14:paraId="407302C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13.6中标人在政府采购合同履行过程中应遵守有关法律、法规和规章的强制性规定（即使前述强制性规定有可能在招标文件中未予列明）。</w:t>
      </w:r>
    </w:p>
    <w:p w14:paraId="15ED9EBC">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七、询问、质疑与投诉</w:t>
      </w:r>
    </w:p>
    <w:p w14:paraId="3DDE4B4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14、询问</w:t>
      </w:r>
    </w:p>
    <w:p w14:paraId="3D80940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14.1潜在投标人或投标人对本次采购活动的有关事项若有疑问，可向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提出询问，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将按照政府采购法及实施条例的有关规定进行答复。</w:t>
      </w:r>
    </w:p>
    <w:p w14:paraId="6E79595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15、质疑</w:t>
      </w:r>
    </w:p>
    <w:p w14:paraId="0E7F924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15.1针对同一采购程序环节的质疑应在政府采购法及实施条例的时限内一次性提出，对一个项目的不同采购包提出质疑的，应当将各采购包质疑事项集中在一份质疑函中提出，并同时符合下列条件：</w:t>
      </w:r>
    </w:p>
    <w:p w14:paraId="062CC86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2385677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（2）质疑人应按照招标文件第二章规定方式提交质疑函。</w:t>
      </w:r>
    </w:p>
    <w:p w14:paraId="61F8E95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（3）质疑函应包括下列主要内容：</w:t>
      </w:r>
    </w:p>
    <w:p w14:paraId="640FF6C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①质疑人的基本信息，至少包括：全称、地址、邮政编码等；</w:t>
      </w:r>
    </w:p>
    <w:p w14:paraId="082B7CB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②所质疑项目的基本信息，至少包括：项目编号、项目名称等；</w:t>
      </w:r>
    </w:p>
    <w:p w14:paraId="38304F2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③所质疑的具体事项（以下简称：“质疑事项”）；</w:t>
      </w:r>
    </w:p>
    <w:p w14:paraId="09CDD9B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④针对质疑事项提出的明确请求，前述明确请求指质疑人提出质疑的目的以及希望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对其质疑作出的处理结果，如：暂停招标投标活动、修改招标文件、停止或纠正违法违规行为、中标结果无效、废标、重新招标等；</w:t>
      </w:r>
    </w:p>
    <w:p w14:paraId="0A21CA8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⑤针对质疑事项导致质疑人自身权益受到损害的必要证明材料，至少包括：</w:t>
      </w:r>
    </w:p>
    <w:p w14:paraId="5DBEF5D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a.质疑人代表的身份证明材料：</w:t>
      </w:r>
    </w:p>
    <w:p w14:paraId="412308A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33E757E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a2若本项目接受自然人投标且质疑人为自然人的，提供本人的身份证复印件。</w:t>
      </w:r>
    </w:p>
    <w:p w14:paraId="12CA476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b.其他证明材料（即事实依据和必要的法律依据）包括但不限于下列材料：</w:t>
      </w:r>
    </w:p>
    <w:p w14:paraId="18F46C0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b1所质疑的具体事项是与自己有利害关系的证明材料；</w:t>
      </w:r>
    </w:p>
    <w:p w14:paraId="51E89AD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b2质疑函所述事实存在的证明材料，如：采购文件、采购过程或中标结果违法违规或不符合采购文件要求等证明材料；</w:t>
      </w:r>
    </w:p>
    <w:p w14:paraId="2143423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b3依法应终止采购程序的证明材料；</w:t>
      </w:r>
    </w:p>
    <w:p w14:paraId="01657EB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b4应重新采购的证明材料；</w:t>
      </w:r>
    </w:p>
    <w:p w14:paraId="09DF88B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b5采购文件、采购过程或中标、成交结果损害自己合法权益的证明材料等；</w:t>
      </w:r>
    </w:p>
    <w:p w14:paraId="2B6AD72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6A69A5A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⑥质疑人代表及其联系方法的信息，至少包括：姓名、手机、电子信箱、邮寄地址等。</w:t>
      </w:r>
    </w:p>
    <w:p w14:paraId="2AAFF9D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⑦提出质疑的日期。</w:t>
      </w:r>
    </w:p>
    <w:p w14:paraId="3A0D78B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※质疑人为法人或其他组织的，质疑函应由单位负责人或委托代理人签字或盖章，并加盖投标人的单位公章。质疑人为自然人的，质疑函应由本人签字。</w:t>
      </w:r>
    </w:p>
    <w:p w14:paraId="4F29A8F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15.2对不符合本章第15.1条规定的质疑，将按照下列规定进行处理：</w:t>
      </w:r>
    </w:p>
    <w:p w14:paraId="2357D75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（1）不符合其中第（1）、（2）条规定的，书面告知质疑人不予受理及其理由。</w:t>
      </w:r>
    </w:p>
    <w:p w14:paraId="7F0793B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（2）不符合其中第（3）条规定的，书面告知质疑人修改、补充后在规定时限内重新提交质疑函。</w:t>
      </w:r>
    </w:p>
    <w:p w14:paraId="57C5A65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15.3对符合本章第15.1条规定的质疑，将按照政府采购法及实施条例、政府采购质疑和投诉办法的有关规定进行答复。</w:t>
      </w:r>
    </w:p>
    <w:p w14:paraId="5C93E62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15.4招标文件的质疑：详见招标文件第二章。</w:t>
      </w:r>
    </w:p>
    <w:p w14:paraId="03405FC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16、投诉</w:t>
      </w:r>
    </w:p>
    <w:p w14:paraId="40A3342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16.1若对质疑答复不满意或质疑答复未在答复期限内作出，质疑人可在答复期限届满之日起15个工作日内按照政府采购质疑和投诉办法的有关规定向招标文件第二章载明的本项目监督管理部门提起投诉。</w:t>
      </w:r>
    </w:p>
    <w:p w14:paraId="35610B6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16.2投诉应有明确的请求和必要的证明材料，投诉的事项不得超出已质疑事项的范围。</w:t>
      </w:r>
    </w:p>
    <w:p w14:paraId="066573EC">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八、政府采购政策</w:t>
      </w:r>
    </w:p>
    <w:p w14:paraId="0BA69FC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17、政府采购政策由财政部根据国家的经济和社会发展政策并会同国家有关部委制定，包括但不限于下列具体政策要求：</w:t>
      </w:r>
    </w:p>
    <w:p w14:paraId="1B6A877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17.1进口产品指通过中国海关报关验放进入中国境内且产自关境外的产品，其中：</w:t>
      </w:r>
    </w:p>
    <w:p w14:paraId="41733BD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14:paraId="0731633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（2）凡在海关特殊监管区域内企业生产或加工（包括从境外进口料件）销往境内其他地区的产品，不作为政府采购项下进口产品。</w:t>
      </w:r>
    </w:p>
    <w:p w14:paraId="5970CE8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（3）对从境外进入海关特殊监管区域，再经办理报关手续后从海关特殊监管区进入境内其他地区的产品，认定为进口产品。</w:t>
      </w:r>
    </w:p>
    <w:p w14:paraId="51F9E75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（4）招标文件列明不允许或未列明允许进口产品参加投标的，均视为拒绝进口产品参加投标。</w:t>
      </w:r>
    </w:p>
    <w:p w14:paraId="37B6615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7DCB28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14:paraId="3287A62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（1）中小企业指符合下列条件的中型、小型、微型企业：</w:t>
      </w:r>
    </w:p>
    <w:p w14:paraId="29067AC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14:paraId="0CF842B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②符合中小企业划分标准的个体工商户，在政府采购活动中视同中小企业。</w:t>
      </w:r>
    </w:p>
    <w:p w14:paraId="1F984E6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（2）在政府采购活动中，</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提供的货物、工程或者服务符合下列情形的，享受本办法规定的中小企业扶持政策：</w:t>
      </w:r>
    </w:p>
    <w:p w14:paraId="3B73EBE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①在货物采购项目中，货物由中小企业制造，即货物由中小企业生产且使用该中小企业商号或者注册商标；</w:t>
      </w:r>
    </w:p>
    <w:p w14:paraId="4DC2B6A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②在工程采购项目中，工程由中小企业承建，即工程施工单位为中小企业；</w:t>
      </w:r>
    </w:p>
    <w:p w14:paraId="2224576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③在服务采购项目中，服务由中小企业承接，即提供服务的人员为中小企业依照《中华人民共和国劳动合同法》订立劳动合同的从业人员。</w:t>
      </w:r>
    </w:p>
    <w:p w14:paraId="30F5A0B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在货物采购项目中，</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提供的货物既有中小企业制造货物，也有大型企业制造货物的，不享受本办法规定的中小企业扶持政策。</w:t>
      </w:r>
    </w:p>
    <w:p w14:paraId="04E874D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以联合体形式参加政府采购活动，联合体各方均为中小企业的，联合体视同中小企业。其中，联合体各方均为小微企业的，联合体视同小微企业。</w:t>
      </w:r>
    </w:p>
    <w:p w14:paraId="5B4E621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（3）投标人应当按照招标文件明确的采购标的对应行业的划分标准出具中小企业声明函。</w:t>
      </w:r>
    </w:p>
    <w:p w14:paraId="71FF31A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14:paraId="2D6DA8E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14:paraId="2E3C929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①监狱企业参加采购活动时，应提供由省级以上监狱管理局、戒毒管理局（含新疆生产建设兵团）出具的属于监狱企业的证明文件。</w:t>
      </w:r>
    </w:p>
    <w:p w14:paraId="6893B31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②监狱企业视同小型、微型企业。</w:t>
      </w:r>
    </w:p>
    <w:p w14:paraId="62156E8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（5）残疾人福利性单位指同时符合下列条件的单位：</w:t>
      </w:r>
    </w:p>
    <w:p w14:paraId="0375B1B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①安置的残疾人占本单位在职职工人数的比例不低于25%（含25%），并且安置的残疾人人数不少于10人（含10人）；</w:t>
      </w:r>
    </w:p>
    <w:p w14:paraId="3149FB6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②依法与安置的每位残疾人签订了一年以上（含一年）的劳动合同或服务协议；</w:t>
      </w:r>
    </w:p>
    <w:p w14:paraId="70CE8FB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③为安置的每位残疾人按月足额缴纳了基本养老保险、基本医疗保险、失业保险、工伤保险和生育保险等社会保险费；</w:t>
      </w:r>
    </w:p>
    <w:p w14:paraId="38EF038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④通过银行等金融机构向安置的每位残疾人，按月支付了不低于单位所在区县适用的经省级人民政府批准的月最低工资标准的工资；</w:t>
      </w:r>
    </w:p>
    <w:p w14:paraId="4C8EFF6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⑤提供本单位制造的货物、承担的工程或服务，或提供其他残疾人福利性单位制造的货物（不包括使用非残疾人福利性单位注册商标的货物）。</w:t>
      </w:r>
    </w:p>
    <w:p w14:paraId="3384A7A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14:paraId="70D7A8E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符合上述条件的残疾人福利性单位参加采购活动时，应提供《残疾人福利性单位声明函》，并对声明的真实性负责。残疾人福利性单位视同小型、微型企业。残疾人福利性单位属于小型、微型企业的，不重复享受政策。</w:t>
      </w:r>
    </w:p>
    <w:p w14:paraId="044FCC2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17.4信用记录指由财政部确定的有关网站提供的相关主体信用信息。信用记录的查询及使用应符合财政部文件（财库[2016]125号）规定。</w:t>
      </w:r>
    </w:p>
    <w:p w14:paraId="34C057E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17.5为落实政府采购政策需满足的要求：详见招标文件第一章。</w:t>
      </w:r>
    </w:p>
    <w:p w14:paraId="415A894A">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九、本项目的有关信息</w:t>
      </w:r>
    </w:p>
    <w:p w14:paraId="64B8BEA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18、本项目的有关信息，包括但不限于：招标公告、更正公告（若有）、招标文件、招标文件的澄清或修改（若有）、中标公告、终止公告（若有）、废标公告（若有）等都将在招标文件载明的指定媒体发布。</w:t>
      </w:r>
    </w:p>
    <w:p w14:paraId="4FD671A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18.1指定媒体：详见招标文件第二章。</w:t>
      </w:r>
    </w:p>
    <w:p w14:paraId="40ABA4A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18.2本项目的潜在投标人或投标人应随时关注指定媒体，否则产生不利后果由其自行承担。</w:t>
      </w:r>
    </w:p>
    <w:p w14:paraId="60E8A2F4">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十、其他事项</w:t>
      </w:r>
    </w:p>
    <w:p w14:paraId="66727A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19、其他事项：</w:t>
      </w:r>
    </w:p>
    <w:p w14:paraId="73BFEBD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14:paraId="34860C3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19.2其他：详见招标文件第二章。</w:t>
      </w:r>
    </w:p>
    <w:p w14:paraId="741BD935">
      <w:pPr>
        <w:pStyle w:val="7"/>
        <w:rPr>
          <w:rFonts w:hint="eastAsia" w:ascii="仿宋" w:hAnsi="仿宋" w:eastAsia="仿宋" w:cs="仿宋"/>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highlight w:val="none"/>
        </w:rPr>
        <w:br w:type="page"/>
      </w:r>
    </w:p>
    <w:p w14:paraId="10FD3484">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第四章 资格审查与评标</w:t>
      </w:r>
    </w:p>
    <w:p w14:paraId="476DE718">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一、资格审查</w:t>
      </w:r>
    </w:p>
    <w:p w14:paraId="5401E42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1、开标结束后，由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负责资格审查小组的组建及资格审查工作的组织。</w:t>
      </w:r>
    </w:p>
    <w:p w14:paraId="4A52347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1.1资格审查小组</w:t>
      </w:r>
    </w:p>
    <w:p w14:paraId="1327DBF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资格审查小组由3人组成，并负责具体审查事务，其中由采购人派出的采购人代表至少1人，由</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派出的工作人员至少1人，其余1人可为采购人代表或</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的工作人员。</w:t>
      </w:r>
    </w:p>
    <w:p w14:paraId="2B957A1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1.2资格审查的依据是招标文件和电子投标文件。</w:t>
      </w:r>
    </w:p>
    <w:p w14:paraId="2D0A596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1.3资格审查的范围及内容：电子投标文件（资格及资信证明部分），具体如下：</w:t>
      </w:r>
    </w:p>
    <w:p w14:paraId="1D2FC09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（1）“投标函”；</w:t>
      </w:r>
    </w:p>
    <w:p w14:paraId="200225A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（2）“投标人的资格及资信证明文件”</w:t>
      </w:r>
    </w:p>
    <w:p w14:paraId="2841A22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①一般资格证明文件：</w:t>
      </w:r>
    </w:p>
    <w:p w14:paraId="23CB3FE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595"/>
        <w:gridCol w:w="4880"/>
      </w:tblGrid>
      <w:tr w14:paraId="7B38F9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51E836">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序号</w:t>
            </w:r>
          </w:p>
        </w:tc>
        <w:tc>
          <w:tcPr>
            <w:tcW w:w="2595" w:type="dxa"/>
          </w:tcPr>
          <w:p w14:paraId="763392B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资格审查要求概况</w:t>
            </w:r>
          </w:p>
        </w:tc>
        <w:tc>
          <w:tcPr>
            <w:tcW w:w="4880" w:type="dxa"/>
          </w:tcPr>
          <w:p w14:paraId="0ECBA732">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评审点具体描述</w:t>
            </w:r>
          </w:p>
        </w:tc>
      </w:tr>
      <w:tr w14:paraId="3925D9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9BDA25">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595" w:type="dxa"/>
          </w:tcPr>
          <w:p w14:paraId="42535C2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单位授权书</w:t>
            </w:r>
          </w:p>
        </w:tc>
        <w:tc>
          <w:tcPr>
            <w:tcW w:w="4880" w:type="dxa"/>
          </w:tcPr>
          <w:p w14:paraId="0F7AB4B6">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14:paraId="337BE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F1FFBA">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595" w:type="dxa"/>
          </w:tcPr>
          <w:p w14:paraId="6D557B1A">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营业执照等证明文件</w:t>
            </w:r>
          </w:p>
        </w:tc>
        <w:tc>
          <w:tcPr>
            <w:tcW w:w="4880" w:type="dxa"/>
          </w:tcPr>
          <w:p w14:paraId="48AB367D">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14:paraId="13F67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872F1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595" w:type="dxa"/>
          </w:tcPr>
          <w:p w14:paraId="652BEBDC">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提供财务状况报告(财务报告、或资信证明）</w:t>
            </w:r>
          </w:p>
        </w:tc>
        <w:tc>
          <w:tcPr>
            <w:tcW w:w="4880" w:type="dxa"/>
          </w:tcPr>
          <w:p w14:paraId="327FF0C8">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14:paraId="2DBAA1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D8F1B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2595" w:type="dxa"/>
          </w:tcPr>
          <w:p w14:paraId="64CAFCCC">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依法缴纳税收证明材料</w:t>
            </w:r>
          </w:p>
        </w:tc>
        <w:tc>
          <w:tcPr>
            <w:tcW w:w="4880" w:type="dxa"/>
          </w:tcPr>
          <w:p w14:paraId="5216C5AF">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14:paraId="2B41C5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EE2FD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2595" w:type="dxa"/>
          </w:tcPr>
          <w:p w14:paraId="6778CE08">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依法缴纳社会保障资金证明材料</w:t>
            </w:r>
          </w:p>
        </w:tc>
        <w:tc>
          <w:tcPr>
            <w:tcW w:w="4880" w:type="dxa"/>
          </w:tcPr>
          <w:p w14:paraId="033F22D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14:paraId="7DEBC7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D441F3">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2595" w:type="dxa"/>
          </w:tcPr>
          <w:p w14:paraId="224D5AC3">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具备履行合同所必需设备和专业技术能力的声明函(若有)</w:t>
            </w:r>
          </w:p>
        </w:tc>
        <w:tc>
          <w:tcPr>
            <w:tcW w:w="4880" w:type="dxa"/>
          </w:tcPr>
          <w:p w14:paraId="47356B4D">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14:paraId="289368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A5926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2595" w:type="dxa"/>
          </w:tcPr>
          <w:p w14:paraId="4223039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参加采购活动前三年内在经营活动中没有重大违法记录的声明</w:t>
            </w:r>
          </w:p>
        </w:tc>
        <w:tc>
          <w:tcPr>
            <w:tcW w:w="4880" w:type="dxa"/>
          </w:tcPr>
          <w:p w14:paraId="031F31A8">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14:paraId="79020B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E06A1D">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2595" w:type="dxa"/>
          </w:tcPr>
          <w:p w14:paraId="76DD8226">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信用记录查询结果</w:t>
            </w:r>
          </w:p>
        </w:tc>
        <w:tc>
          <w:tcPr>
            <w:tcW w:w="4880" w:type="dxa"/>
          </w:tcPr>
          <w:p w14:paraId="5A11FA1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52003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638EBF">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2595" w:type="dxa"/>
          </w:tcPr>
          <w:p w14:paraId="203F32B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中小企业声明函（以资格条件落实中小企业扶持政策时适用 ）</w:t>
            </w:r>
          </w:p>
        </w:tc>
        <w:tc>
          <w:tcPr>
            <w:tcW w:w="4880" w:type="dxa"/>
          </w:tcPr>
          <w:p w14:paraId="704C771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14:paraId="17ABBE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273A93">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2595" w:type="dxa"/>
          </w:tcPr>
          <w:p w14:paraId="584D47A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联合体协议（若有）</w:t>
            </w:r>
          </w:p>
        </w:tc>
        <w:tc>
          <w:tcPr>
            <w:tcW w:w="4880" w:type="dxa"/>
          </w:tcPr>
          <w:p w14:paraId="46C2168F">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①招标文件接受联合体投标且投标人为联合体的，投标人应提供本协议；否则无须提供。 ②本协议由委托代理人签字或盖章的，应按照招标文件第七章载明的格式提供“单位授权书”。</w:t>
            </w:r>
          </w:p>
        </w:tc>
      </w:tr>
    </w:tbl>
    <w:p w14:paraId="206FD8C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※备注说明</w:t>
      </w:r>
    </w:p>
    <w:p w14:paraId="08CD6A9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①投标人应根据自身实际情况提供上述资格要求的证明材料，格式可参考招标文件第七章提供。</w:t>
      </w:r>
    </w:p>
    <w:p w14:paraId="5861ECF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②投标人提供的相应证明材料复印件均应符合：内容完整、清晰、整洁，并由投标人加盖其单位公章。</w:t>
      </w:r>
    </w:p>
    <w:p w14:paraId="7D4419A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③根据招标文件第四章第一点资格审查的1.3“④其他资格证明文件”要求，允许</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采用资格承诺制的并提供符合要求的资格承诺函，视为满足招标文件的资格要求。</w:t>
      </w:r>
    </w:p>
    <w:p w14:paraId="50A2339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④.其他资格证明文件：</w:t>
      </w:r>
    </w:p>
    <w:p w14:paraId="7B955BE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28"/>
        <w:gridCol w:w="6278"/>
      </w:tblGrid>
      <w:tr w14:paraId="7A6B68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0187FFA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资格审查要求概况</w:t>
            </w:r>
          </w:p>
        </w:tc>
        <w:tc>
          <w:tcPr>
            <w:tcW w:w="6278" w:type="dxa"/>
          </w:tcPr>
          <w:p w14:paraId="15B12E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评审点具体描述</w:t>
            </w:r>
          </w:p>
        </w:tc>
      </w:tr>
      <w:tr w14:paraId="08F96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2FA230B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信用记录要求（招标文件其他地方要求与本条款要求不一致的，以本条款要求为准）</w:t>
            </w:r>
          </w:p>
        </w:tc>
        <w:tc>
          <w:tcPr>
            <w:tcW w:w="6278" w:type="dxa"/>
          </w:tcPr>
          <w:p w14:paraId="2388809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1、信用信息查询渠道：通过“信用中国”网站（www.creditchina.gov.cn）、中国政府采购网（www.ccgp.gov.cn）、“信用厦门”网站（credit.xm.gov.cn）查询所有</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的信用信息。 2、截止时点：查询</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截止开标当天前三年内的信用信息。 3、查询记录和证据留存方式：将查询结果网页打印后随采购文件一并存档。 4、信用信息的使用规则：（1）查询结果显示</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信息的，不认定</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资格审查不合格；评审结束后，通过其他渠道发现</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存在不良信用记录的，不认定为资格审查错误，将依照有关规定进行调查处理。（3）联合体成员存在不良信用记录的，视同联合体存在不良信用记录，联合体资格审查不合格。 5、</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无需提供信用信息查询结果。若</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自行提供查询结果的，仍以评标当天查询结果为准。</w:t>
            </w:r>
          </w:p>
        </w:tc>
      </w:tr>
      <w:tr w14:paraId="35D888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28" w:type="dxa"/>
          </w:tcPr>
          <w:p w14:paraId="6EE875E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资格承诺函</w:t>
            </w:r>
          </w:p>
        </w:tc>
        <w:tc>
          <w:tcPr>
            <w:tcW w:w="6278" w:type="dxa"/>
          </w:tcPr>
          <w:p w14:paraId="1DC32C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①本采购包允许</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采用资格承诺制。采用资格承诺制的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，应当根据投标(响应)格式文件要求提供资格承诺函，无需提供《政府采购法实施条例》第十七条第一款规定的一般资格条件证明材料；资格承诺函不符合采购文件要求的，视为未按照采购文件规定提交</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的资格及资信文件，按资格审查不合格处理。②采购项目有特殊资格要求的，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还应按要求提供相应的证明材料。</w:t>
            </w:r>
          </w:p>
        </w:tc>
      </w:tr>
      <w:tr w14:paraId="67ECB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tcPr>
          <w:p w14:paraId="7D80F15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采购人根据采购项目的要求规定的特定条件</w:t>
            </w:r>
          </w:p>
        </w:tc>
        <w:tc>
          <w:tcPr>
            <w:tcW w:w="6278" w:type="dxa"/>
            <w:vAlign w:val="center"/>
          </w:tcPr>
          <w:p w14:paraId="4A46EF04">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投标人必须具有建设行政主管部门颁发的</w:t>
            </w:r>
            <w:r>
              <w:rPr>
                <w:rFonts w:hint="eastAsia" w:ascii="仿宋" w:hAnsi="仿宋" w:eastAsia="仿宋" w:cs="仿宋"/>
                <w:sz w:val="24"/>
                <w:szCs w:val="24"/>
                <w:highlight w:val="none"/>
                <w:lang w:eastAsia="zh-CN"/>
              </w:rPr>
              <w:t>电子与智能化工程专业承包一级（含）以上资质</w:t>
            </w:r>
            <w:r>
              <w:rPr>
                <w:rFonts w:hint="eastAsia" w:ascii="仿宋" w:hAnsi="仿宋" w:eastAsia="仿宋" w:cs="仿宋"/>
                <w:sz w:val="24"/>
                <w:szCs w:val="24"/>
                <w:highlight w:val="none"/>
              </w:rPr>
              <w:t>，提供有效的证书扫描件</w:t>
            </w:r>
            <w:r>
              <w:rPr>
                <w:rFonts w:hint="eastAsia" w:ascii="仿宋" w:hAnsi="仿宋" w:eastAsia="仿宋" w:cs="仿宋"/>
                <w:sz w:val="24"/>
                <w:szCs w:val="24"/>
                <w:highlight w:val="none"/>
                <w:lang w:val="en-US" w:eastAsia="zh-CN"/>
              </w:rPr>
              <w:t>或复印件</w:t>
            </w:r>
            <w:r>
              <w:rPr>
                <w:rFonts w:hint="eastAsia" w:ascii="仿宋" w:hAnsi="仿宋" w:eastAsia="仿宋" w:cs="仿宋"/>
                <w:sz w:val="24"/>
                <w:szCs w:val="24"/>
                <w:highlight w:val="none"/>
              </w:rPr>
              <w:t>。</w:t>
            </w:r>
          </w:p>
        </w:tc>
      </w:tr>
      <w:tr w14:paraId="79E14D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tcPr>
          <w:p w14:paraId="74D98F3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“中小企业声明函（以资格条件落实中小企业扶持政策时适用 ）”的补充说明</w:t>
            </w:r>
          </w:p>
        </w:tc>
        <w:tc>
          <w:tcPr>
            <w:tcW w:w="6278" w:type="dxa"/>
          </w:tcPr>
          <w:p w14:paraId="0BC8877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政府采购促进中小企业发展管理办法》财库[2020]46号以及《福建省财政厅关于进一步加大政府采购支持中小企业力度的通知》闽财规〔2022〕13号的规定，投标人须满足以下要求：采购人预留该项目预算总额的</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%以上（含</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%）专门面向中小企业（指产品制造商）采购，预留给小微企业（指产品制造商）的比例不低于项目预算总额的</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。投标人须根据《关于印发中小企业划型标准规定的通知》工信部联企业〔2011〕300号文中对应的中小企业划分标准所属行业：“工业”进行认定和声明，投标人须提供《中小企业声明函》。 【提示：投标人应按招标文件第五章“8、投标文件相关格式附件”格式提供《中小企业声明函》，并承诺相关产品报价所占比例，不满足的视为无效投标。】</w:t>
            </w:r>
          </w:p>
        </w:tc>
      </w:tr>
      <w:tr w14:paraId="2ADB97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1" w:hRule="atLeast"/>
        </w:trPr>
        <w:tc>
          <w:tcPr>
            <w:tcW w:w="2028" w:type="dxa"/>
          </w:tcPr>
          <w:p w14:paraId="70BEB8A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投标人的资格要求的更正</w:t>
            </w:r>
          </w:p>
        </w:tc>
        <w:tc>
          <w:tcPr>
            <w:tcW w:w="6278" w:type="dxa"/>
          </w:tcPr>
          <w:p w14:paraId="4181D14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预留中小企业采购份额方式执行扶持中小企业政策。删除本项目“本采购包为专门面向中小企业采购，投标人须提供中小企业声明函。监狱企业、残疾人福利性单位视同小型、微型企业。”的资格条款要求。</w:t>
            </w:r>
          </w:p>
        </w:tc>
      </w:tr>
    </w:tbl>
    <w:p w14:paraId="0476F51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（3）投标保证金。</w:t>
      </w:r>
    </w:p>
    <w:p w14:paraId="00A604B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1.4有下列情形之一的，资格审查不合格：</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06"/>
      </w:tblGrid>
      <w:tr w14:paraId="69C2E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0A2D25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明细</w:t>
            </w:r>
          </w:p>
        </w:tc>
      </w:tr>
      <w:tr w14:paraId="162FF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2F02845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未按照招标文件规定提交投标函</w:t>
            </w:r>
          </w:p>
        </w:tc>
      </w:tr>
      <w:tr w14:paraId="1DB93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016C1AF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未按照招标文件规定提交投标人的资格及资信文件</w:t>
            </w:r>
          </w:p>
        </w:tc>
      </w:tr>
      <w:tr w14:paraId="129C29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tcPr>
          <w:p w14:paraId="4683DA2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未按照招标文件规定提交投标保证金</w:t>
            </w:r>
          </w:p>
        </w:tc>
      </w:tr>
    </w:tbl>
    <w:p w14:paraId="47D1F01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p w14:paraId="2B383F4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资格审查不合格项：无</w:t>
      </w:r>
    </w:p>
    <w:p w14:paraId="4EB2FAD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1.5若本项目接受联合体投标且投标人为联合体，联合体中有同类资质的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按照联合体分工承担相同工作的，应先按照资质等级较低的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确定资质等级，再按照本章第1.2、1.3、1.4条规定进行资格审查。</w:t>
      </w:r>
    </w:p>
    <w:p w14:paraId="4F1E337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2、资格审查情况不得私自外泄，有关信息由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统一对外发布。</w:t>
      </w:r>
    </w:p>
    <w:p w14:paraId="4F91457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3、资格审查合格的投标人不足三家的，不进行评标。同时，本次采购活动结束，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将依法组织后续采购活动（包括但不限于：重新招标、采用其他方式采购等）。</w:t>
      </w:r>
    </w:p>
    <w:p w14:paraId="3E7836E6">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二、评标</w:t>
      </w:r>
    </w:p>
    <w:p w14:paraId="417676A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4、资格审查结束后，由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负责评标委员会的组建及评标工作的组织。</w:t>
      </w:r>
    </w:p>
    <w:p w14:paraId="3282D00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5、评标委员会</w:t>
      </w:r>
    </w:p>
    <w:p w14:paraId="618C6FF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由采购人代表和评审专家两部分共7人组成，其中由福建省政府采购评审专家库产生的评审专家5人，由采购人派出的采购人代表2人。</w:t>
      </w:r>
    </w:p>
    <w:p w14:paraId="5440D1D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5.2评标委员会负责具体评标事务，并按照下列原则依法独立履行有关职责：</w:t>
      </w:r>
    </w:p>
    <w:p w14:paraId="00DBC60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（1）评标应保护国家利益、社会公共利益和各方当事人合法权益，提高采购效益，保证项目质量。</w:t>
      </w:r>
    </w:p>
    <w:p w14:paraId="709FE1A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（2）评标应遵循公平、公正、科学、严谨和择优原则。</w:t>
      </w:r>
    </w:p>
    <w:p w14:paraId="3907BD7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（3）评标的依据是招标文件和电子投标文件。</w:t>
      </w:r>
    </w:p>
    <w:p w14:paraId="4C913AA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（4）应按照招标文件规定推荐中标候选人或确定中标人。</w:t>
      </w:r>
    </w:p>
    <w:p w14:paraId="6CBF7FA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（5）评标应遵守下列评标纪律：</w:t>
      </w:r>
    </w:p>
    <w:p w14:paraId="2D8119A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①评标情况不得私自外泄，有关信息由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统一对外发布。</w:t>
      </w:r>
    </w:p>
    <w:p w14:paraId="6A609DA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②对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或投标人提供的要求保密的资料，不得摘记翻印和外传。</w:t>
      </w:r>
    </w:p>
    <w:p w14:paraId="6A4C4F6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③不得收受投标人或有关人员的任何礼物，不得串联鼓动其他人袒护某投标人。若与投标人存在利害关系，则应主动声明并回避。</w:t>
      </w:r>
    </w:p>
    <w:p w14:paraId="1E16C69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④全体评委应按照招标文件规定进行评标，一切认定事项应查有实据且不得弄虚作假。</w:t>
      </w:r>
    </w:p>
    <w:p w14:paraId="646A699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⑤评标中应充分发扬民主，推荐中标候选人或确定中标人后要服从评标报告。</w:t>
      </w:r>
    </w:p>
    <w:p w14:paraId="79ABD42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※对违反评标纪律的评委，将取消其评委资格，对评标工作造成严重损失者将予以通报批评乃至追究法律责任。</w:t>
      </w:r>
    </w:p>
    <w:p w14:paraId="6CAEDFC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6、评标程序</w:t>
      </w:r>
    </w:p>
    <w:p w14:paraId="6569C5E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6.1评标前的准备工作</w:t>
      </w:r>
    </w:p>
    <w:p w14:paraId="52742C1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（1）全体评委应认真审阅招标文件，了解评委应履行或遵守的职责、义务和评标纪律。</w:t>
      </w:r>
    </w:p>
    <w:p w14:paraId="5FE17A2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（2）参加评标委员会的采购人代表可对本项目的背景和采购需求进行介绍，介绍材料应以书面形式提交（随采购文件一并存档），介绍内容不得含有歧视性、倾向性意见，不得超出招标文件所述范围。</w:t>
      </w:r>
    </w:p>
    <w:p w14:paraId="44537E5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6.2符合性审查</w:t>
      </w:r>
    </w:p>
    <w:p w14:paraId="5479ABA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（1）评标委员会依据招标文件的实质性要求，对通过资格审查的电子投标文件进行符合性审查，以确定其是否满足招标文件的实质性要求。</w:t>
      </w:r>
    </w:p>
    <w:p w14:paraId="5AA53EF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（2）满足招标文件的实质性要求指电子投标文件对招标文件实质性要求的响应不存在重大偏差或保留。</w:t>
      </w:r>
    </w:p>
    <w:p w14:paraId="2BB10E2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14:paraId="7FC58F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14:paraId="133F3AD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（5）评标委员会对所有投标人都执行相同的程序和标准。</w:t>
      </w:r>
    </w:p>
    <w:p w14:paraId="327E809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（6）有下列情形之一的，符合性审查不合格：</w:t>
      </w:r>
    </w:p>
    <w:p w14:paraId="642BEF7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①项目一般情形：</w:t>
      </w:r>
    </w:p>
    <w:p w14:paraId="27CEA6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4"/>
        <w:gridCol w:w="5194"/>
      </w:tblGrid>
      <w:tr w14:paraId="293601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F80080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序号</w:t>
            </w:r>
          </w:p>
        </w:tc>
        <w:tc>
          <w:tcPr>
            <w:tcW w:w="2074" w:type="dxa"/>
          </w:tcPr>
          <w:p w14:paraId="2ECBDCD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符合审查要求概况</w:t>
            </w:r>
          </w:p>
        </w:tc>
        <w:tc>
          <w:tcPr>
            <w:tcW w:w="5194" w:type="dxa"/>
          </w:tcPr>
          <w:p w14:paraId="7A7CBB6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评审点具体描述</w:t>
            </w:r>
          </w:p>
        </w:tc>
      </w:tr>
      <w:tr w14:paraId="3BF28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51FE6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074" w:type="dxa"/>
          </w:tcPr>
          <w:p w14:paraId="06D1F68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情形1</w:t>
            </w:r>
          </w:p>
        </w:tc>
        <w:tc>
          <w:tcPr>
            <w:tcW w:w="5194" w:type="dxa"/>
          </w:tcPr>
          <w:p w14:paraId="11BD2A2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违反招标文件中载明“投标无效”条款的规定；</w:t>
            </w:r>
          </w:p>
        </w:tc>
      </w:tr>
      <w:tr w14:paraId="3F9F44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070833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074" w:type="dxa"/>
          </w:tcPr>
          <w:p w14:paraId="396F44B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情形2</w:t>
            </w:r>
          </w:p>
        </w:tc>
        <w:tc>
          <w:tcPr>
            <w:tcW w:w="5194" w:type="dxa"/>
          </w:tcPr>
          <w:p w14:paraId="3C127E3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属于招标文件第三章第10.12条规定的投标无效情形；</w:t>
            </w:r>
          </w:p>
        </w:tc>
      </w:tr>
      <w:tr w14:paraId="32559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CA117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074" w:type="dxa"/>
          </w:tcPr>
          <w:p w14:paraId="4C47ED9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情形3</w:t>
            </w:r>
          </w:p>
        </w:tc>
        <w:tc>
          <w:tcPr>
            <w:tcW w:w="5194" w:type="dxa"/>
          </w:tcPr>
          <w:p w14:paraId="3C81EC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投标文件对招标文件实质性要求的响应存在重大偏离或保留。</w:t>
            </w:r>
          </w:p>
        </w:tc>
      </w:tr>
      <w:tr w14:paraId="3A56C0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98A1B19">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4</w:t>
            </w:r>
          </w:p>
        </w:tc>
        <w:tc>
          <w:tcPr>
            <w:tcW w:w="2074" w:type="dxa"/>
          </w:tcPr>
          <w:p w14:paraId="1763B45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强制采购节能产品</w:t>
            </w:r>
          </w:p>
        </w:tc>
        <w:tc>
          <w:tcPr>
            <w:tcW w:w="5194" w:type="dxa"/>
          </w:tcPr>
          <w:p w14:paraId="31AEDEC9">
            <w:pPr>
              <w:pStyle w:val="7"/>
              <w:jc w:val="left"/>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投标货物中有属于最新公布《节能产品政府采购品目清单》内强制采购品目的[包括★台式计算机，★便携式计算机，★平板式微型计算机，★激光打印机，★针式打印机，★液晶显示器，★制冷压缩机（冷水机组、水源热泵机组、溴化锂吸收式冷水机组），★空调机组[多联式空调（热泵）机组(制冷量＞14000W)、单元式空气调节机(制冷量＞14000W)]，★专用制冷、空调设备（机房空调），★镇流器（管型荧光灯镇流器），★空调机[房间空气调节器、多联式空调（热泵）机组（制冷量≤14000W）、单元式空气调节机(制冷量≤14000W)]，★电热水器，★普通照明用双端荧光灯，★电视设备（电视机），★视频监控设备（监视器），★便器（坐便器、蹲便器、小便器），★水嘴等]，</w:t>
            </w:r>
            <w:r>
              <w:rPr>
                <w:rFonts w:hint="eastAsia" w:ascii="仿宋" w:hAnsi="仿宋" w:eastAsia="仿宋" w:cs="仿宋"/>
                <w:b/>
                <w:bCs/>
                <w:sz w:val="24"/>
                <w:szCs w:val="24"/>
                <w:highlight w:val="none"/>
              </w:rPr>
              <w:t>投标人必须提供所</w:t>
            </w:r>
            <w:r>
              <w:rPr>
                <w:rFonts w:hint="eastAsia" w:ascii="仿宋" w:hAnsi="仿宋" w:eastAsia="仿宋" w:cs="仿宋"/>
                <w:b/>
                <w:bCs/>
                <w:sz w:val="24"/>
                <w:szCs w:val="24"/>
                <w:highlight w:val="none"/>
                <w:lang w:val="en-US" w:eastAsia="zh-CN"/>
              </w:rPr>
              <w:t>投</w:t>
            </w:r>
            <w:r>
              <w:rPr>
                <w:rFonts w:hint="eastAsia" w:ascii="仿宋" w:hAnsi="仿宋" w:eastAsia="仿宋" w:cs="仿宋"/>
                <w:b/>
                <w:bCs/>
                <w:sz w:val="24"/>
                <w:szCs w:val="24"/>
                <w:highlight w:val="none"/>
              </w:rPr>
              <w:t>产品国家确定的认证机构出具的、处于有效期之内的</w:t>
            </w:r>
            <w:r>
              <w:rPr>
                <w:rFonts w:hint="eastAsia" w:ascii="仿宋" w:hAnsi="仿宋" w:eastAsia="仿宋" w:cs="仿宋"/>
                <w:b/>
                <w:bCs/>
                <w:sz w:val="24"/>
                <w:szCs w:val="24"/>
                <w:highlight w:val="none"/>
                <w:lang w:val="en-US" w:eastAsia="zh-CN"/>
              </w:rPr>
              <w:t>相关</w:t>
            </w:r>
            <w:r>
              <w:rPr>
                <w:rFonts w:hint="eastAsia" w:ascii="仿宋" w:hAnsi="仿宋" w:eastAsia="仿宋" w:cs="仿宋"/>
                <w:b/>
                <w:bCs/>
                <w:sz w:val="24"/>
                <w:szCs w:val="24"/>
                <w:highlight w:val="none"/>
              </w:rPr>
              <w:t>有效复印件</w:t>
            </w:r>
            <w:r>
              <w:rPr>
                <w:rFonts w:hint="eastAsia" w:ascii="仿宋" w:hAnsi="仿宋" w:eastAsia="仿宋" w:cs="仿宋"/>
                <w:b/>
                <w:sz w:val="24"/>
                <w:szCs w:val="24"/>
                <w:u w:val="single"/>
                <w:lang w:val="en-US" w:eastAsia="zh-CN"/>
              </w:rPr>
              <w:t>或</w:t>
            </w:r>
            <w:r>
              <w:rPr>
                <w:rFonts w:ascii="仿宋" w:hAnsi="仿宋" w:eastAsia="仿宋" w:cs="仿宋"/>
                <w:b/>
                <w:sz w:val="24"/>
                <w:szCs w:val="24"/>
                <w:u w:val="single"/>
              </w:rPr>
              <w:t>承诺其所投产品符合国家强制性要求</w:t>
            </w:r>
            <w:r>
              <w:rPr>
                <w:rFonts w:hint="eastAsia" w:ascii="仿宋" w:hAnsi="仿宋" w:eastAsia="仿宋" w:cs="仿宋"/>
                <w:b/>
                <w:sz w:val="24"/>
                <w:szCs w:val="24"/>
                <w:u w:val="single"/>
                <w:lang w:val="en-US" w:eastAsia="zh-CN"/>
              </w:rPr>
              <w:t>(书面承诺函，</w:t>
            </w:r>
            <w:r>
              <w:rPr>
                <w:rFonts w:ascii="仿宋" w:hAnsi="仿宋" w:eastAsia="仿宋" w:cs="仿宋"/>
                <w:b/>
                <w:sz w:val="24"/>
                <w:szCs w:val="24"/>
                <w:u w:val="single"/>
              </w:rPr>
              <w:t>格式自拟</w:t>
            </w:r>
            <w:r>
              <w:rPr>
                <w:rFonts w:hint="eastAsia" w:ascii="仿宋" w:hAnsi="仿宋" w:eastAsia="仿宋" w:cs="仿宋"/>
                <w:b/>
                <w:sz w:val="24"/>
                <w:szCs w:val="24"/>
                <w:u w:val="single"/>
                <w:lang w:val="en-US" w:eastAsia="zh-CN"/>
              </w:rPr>
              <w:t>)，</w:t>
            </w:r>
            <w:r>
              <w:rPr>
                <w:rFonts w:hint="eastAsia" w:ascii="仿宋" w:hAnsi="仿宋" w:eastAsia="仿宋" w:cs="仿宋"/>
                <w:b w:val="0"/>
                <w:bCs w:val="0"/>
                <w:sz w:val="24"/>
                <w:szCs w:val="24"/>
                <w:highlight w:val="none"/>
              </w:rPr>
              <w:t>否则视为无效投标。</w:t>
            </w:r>
            <w:r>
              <w:rPr>
                <w:rFonts w:hint="eastAsia" w:ascii="仿宋" w:hAnsi="仿宋" w:eastAsia="仿宋" w:cs="仿宋"/>
                <w:b/>
                <w:bCs/>
                <w:sz w:val="24"/>
                <w:szCs w:val="24"/>
                <w:highlight w:val="none"/>
              </w:rPr>
              <w:t xml:space="preserve"> 本项目强制采购节能产品品目包括：</w:t>
            </w:r>
            <w:r>
              <w:rPr>
                <w:rFonts w:hint="eastAsia" w:ascii="仿宋" w:hAnsi="仿宋" w:eastAsia="仿宋" w:cs="仿宋"/>
                <w:b w:val="0"/>
                <w:bCs w:val="0"/>
                <w:sz w:val="24"/>
                <w:szCs w:val="24"/>
                <w:highlight w:val="none"/>
              </w:rPr>
              <w:t>49寸专业拼接监视器、55寸专业拼接监视器、98寸电视机、98寸流动辅助显示屏、110寸会议一体机、98寸会议一体机、</w:t>
            </w:r>
            <w:r>
              <w:rPr>
                <w:rFonts w:hint="eastAsia" w:ascii="仿宋" w:hAnsi="仿宋" w:eastAsia="仿宋" w:cs="仿宋"/>
                <w:b w:val="0"/>
                <w:bCs w:val="0"/>
                <w:sz w:val="24"/>
                <w:szCs w:val="24"/>
                <w:highlight w:val="none"/>
                <w:lang w:val="en-US" w:eastAsia="zh-CN"/>
              </w:rPr>
              <w:t>86</w:t>
            </w:r>
            <w:r>
              <w:rPr>
                <w:rFonts w:hint="eastAsia" w:ascii="仿宋" w:hAnsi="仿宋" w:eastAsia="仿宋" w:cs="仿宋"/>
                <w:b w:val="0"/>
                <w:bCs w:val="0"/>
                <w:sz w:val="24"/>
                <w:szCs w:val="24"/>
                <w:highlight w:val="none"/>
              </w:rPr>
              <w:t>寸会议一体机、32寸液晶播放一体机、55寸宣教屏、55寸手术术程显示屏、65寸液晶播放一体机（竖屏）、75工作量显示屏、42寸液晶播放一体机、75寸智慧电视、75寸电子白板、75寸中央监护屏、55寸CCU宣教屏、候诊区显示屏、诊室门口屏、55寸候诊区显示屏。</w:t>
            </w:r>
          </w:p>
        </w:tc>
      </w:tr>
      <w:tr w14:paraId="2D70AE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089FC39">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2074" w:type="dxa"/>
          </w:tcPr>
          <w:p w14:paraId="7076D4EF">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1</w:t>
            </w:r>
          </w:p>
        </w:tc>
        <w:tc>
          <w:tcPr>
            <w:tcW w:w="5194" w:type="dxa"/>
            <w:shd w:val="clear" w:color="auto" w:fill="auto"/>
          </w:tcPr>
          <w:p w14:paraId="56BA3D8A">
            <w:pPr>
              <w:pStyle w:val="7"/>
              <w:jc w:val="left"/>
              <w:rPr>
                <w:rFonts w:hint="eastAsia" w:ascii="仿宋" w:hAnsi="仿宋" w:eastAsia="仿宋" w:cs="仿宋"/>
                <w:b w:val="0"/>
                <w:bCs w:val="0"/>
                <w:sz w:val="24"/>
                <w:szCs w:val="24"/>
                <w:highlight w:val="none"/>
                <w:lang w:val="en-US"/>
              </w:rPr>
            </w:pPr>
            <w:r>
              <w:rPr>
                <w:rFonts w:hint="eastAsia" w:ascii="仿宋" w:hAnsi="仿宋" w:eastAsia="仿宋" w:cs="仿宋"/>
                <w:b w:val="0"/>
                <w:bCs w:val="0"/>
                <w:sz w:val="24"/>
                <w:szCs w:val="24"/>
                <w:highlight w:val="none"/>
                <w:lang w:eastAsia="zh-CN"/>
              </w:rPr>
              <w:t>为保证</w:t>
            </w:r>
            <w:r>
              <w:rPr>
                <w:rFonts w:hint="eastAsia" w:ascii="仿宋" w:hAnsi="仿宋" w:eastAsia="仿宋" w:cs="仿宋"/>
                <w:b w:val="0"/>
                <w:bCs w:val="0"/>
                <w:sz w:val="24"/>
                <w:szCs w:val="24"/>
                <w:highlight w:val="none"/>
                <w:lang w:val="en-US" w:eastAsia="zh-CN"/>
              </w:rPr>
              <w:t>影像存储</w:t>
            </w:r>
            <w:r>
              <w:rPr>
                <w:rFonts w:hint="eastAsia" w:ascii="仿宋" w:hAnsi="仿宋" w:eastAsia="仿宋" w:cs="仿宋"/>
                <w:b w:val="0"/>
                <w:bCs w:val="0"/>
                <w:sz w:val="24"/>
                <w:szCs w:val="24"/>
                <w:highlight w:val="none"/>
                <w:lang w:eastAsia="zh-CN"/>
              </w:rPr>
              <w:t>正常、稳定运行</w:t>
            </w:r>
            <w:r>
              <w:rPr>
                <w:rFonts w:hint="eastAsia" w:ascii="仿宋" w:hAnsi="仿宋" w:eastAsia="仿宋" w:cs="仿宋"/>
                <w:b w:val="0"/>
                <w:bCs w:val="0"/>
                <w:sz w:val="24"/>
                <w:szCs w:val="24"/>
                <w:highlight w:val="none"/>
                <w:lang w:val="en-US" w:eastAsia="zh-CN"/>
              </w:rPr>
              <w:t>，投标人所投的影像存储扩容应与现有影像存储</w:t>
            </w:r>
            <w:r>
              <w:rPr>
                <w:rFonts w:hint="eastAsia" w:ascii="仿宋" w:hAnsi="仿宋" w:eastAsia="仿宋" w:cs="仿宋"/>
                <w:b w:val="0"/>
                <w:bCs w:val="0"/>
                <w:sz w:val="24"/>
                <w:szCs w:val="24"/>
                <w:highlight w:val="none"/>
                <w:lang w:eastAsia="zh-CN"/>
              </w:rPr>
              <w:t>实现统一管理，统一授权，对接所需费用（含接口费）包含到投标总价中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w:t>
            </w:r>
          </w:p>
        </w:tc>
      </w:tr>
      <w:tr w14:paraId="0C97A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B8106E0">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2074" w:type="dxa"/>
          </w:tcPr>
          <w:p w14:paraId="03195E0D">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2</w:t>
            </w:r>
          </w:p>
        </w:tc>
        <w:tc>
          <w:tcPr>
            <w:tcW w:w="5194" w:type="dxa"/>
          </w:tcPr>
          <w:p w14:paraId="0A21BBD2">
            <w:pPr>
              <w:pStyle w:val="7"/>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eastAsia="zh-CN"/>
              </w:rPr>
              <w:t>为保证智能信息发布软件正常、稳定运行，投标人所投的智能信息发布软件及设备需与一期建设的智能信息发布软件无缝对接，统一管理及发布信息，所需费用（含接口费）包含到投标总价中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w:t>
            </w:r>
          </w:p>
        </w:tc>
      </w:tr>
      <w:tr w14:paraId="1915C0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B5DBA9B">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2074" w:type="dxa"/>
          </w:tcPr>
          <w:p w14:paraId="5851818C">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3</w:t>
            </w:r>
          </w:p>
        </w:tc>
        <w:tc>
          <w:tcPr>
            <w:tcW w:w="5194" w:type="dxa"/>
          </w:tcPr>
          <w:p w14:paraId="2A5DDF3D">
            <w:pPr>
              <w:pStyle w:val="7"/>
              <w:jc w:val="left"/>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为保证</w:t>
            </w:r>
            <w:r>
              <w:rPr>
                <w:rFonts w:hint="eastAsia" w:ascii="仿宋" w:hAnsi="仿宋" w:eastAsia="仿宋" w:cs="仿宋"/>
                <w:b w:val="0"/>
                <w:bCs w:val="0"/>
                <w:sz w:val="24"/>
                <w:szCs w:val="24"/>
                <w:highlight w:val="none"/>
                <w:lang w:val="en-US" w:eastAsia="zh-CN"/>
              </w:rPr>
              <w:t>无线网络</w:t>
            </w:r>
            <w:r>
              <w:rPr>
                <w:rFonts w:hint="eastAsia" w:ascii="仿宋" w:hAnsi="仿宋" w:eastAsia="仿宋" w:cs="仿宋"/>
                <w:b w:val="0"/>
                <w:bCs w:val="0"/>
                <w:sz w:val="24"/>
                <w:szCs w:val="24"/>
                <w:highlight w:val="none"/>
                <w:lang w:eastAsia="zh-CN"/>
              </w:rPr>
              <w:t>正常、稳定运行</w:t>
            </w:r>
            <w:r>
              <w:rPr>
                <w:rFonts w:hint="eastAsia" w:ascii="仿宋" w:hAnsi="仿宋" w:eastAsia="仿宋" w:cs="仿宋"/>
                <w:b w:val="0"/>
                <w:bCs w:val="0"/>
                <w:sz w:val="24"/>
                <w:szCs w:val="24"/>
                <w:highlight w:val="none"/>
                <w:lang w:val="en-US" w:eastAsia="zh-CN"/>
              </w:rPr>
              <w:t>，投标人所投的</w:t>
            </w:r>
            <w:r>
              <w:rPr>
                <w:rFonts w:hint="eastAsia" w:ascii="仿宋" w:hAnsi="仿宋" w:eastAsia="仿宋" w:cs="仿宋"/>
                <w:b w:val="0"/>
                <w:bCs w:val="0"/>
                <w:sz w:val="24"/>
                <w:szCs w:val="24"/>
                <w:highlight w:val="none"/>
                <w:lang w:eastAsia="zh-CN"/>
              </w:rPr>
              <w:t>无线控制器需与院区原有无线AP实现统一管理，统一授权，对接所需费用（含接口费）包含到投标总价中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w:t>
            </w:r>
          </w:p>
        </w:tc>
      </w:tr>
      <w:tr w14:paraId="17951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1D13866">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2074" w:type="dxa"/>
            <w:shd w:val="clear" w:color="auto" w:fill="auto"/>
          </w:tcPr>
          <w:p w14:paraId="7E297C79">
            <w:pPr>
              <w:pStyle w:val="7"/>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4</w:t>
            </w:r>
          </w:p>
        </w:tc>
        <w:tc>
          <w:tcPr>
            <w:tcW w:w="5194" w:type="dxa"/>
          </w:tcPr>
          <w:p w14:paraId="5125D397">
            <w:pPr>
              <w:pStyle w:val="7"/>
              <w:jc w:val="left"/>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本项目所投标响应的软硬件均应能提供开放接口，兼容对接</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包括但不限于数据接口对接、协议兼容性及功能协同性要求。</w:t>
            </w:r>
            <w:r>
              <w:rPr>
                <w:rFonts w:hint="eastAsia" w:ascii="仿宋" w:hAnsi="仿宋" w:eastAsia="仿宋" w:cs="仿宋"/>
                <w:b w:val="0"/>
                <w:bCs w:val="0"/>
                <w:sz w:val="24"/>
                <w:szCs w:val="24"/>
                <w:highlight w:val="none"/>
                <w:lang w:val="en-US" w:eastAsia="zh-CN"/>
              </w:rPr>
              <w:t>投标人承诺</w:t>
            </w:r>
            <w:r>
              <w:rPr>
                <w:rFonts w:hint="eastAsia" w:ascii="仿宋" w:hAnsi="仿宋" w:eastAsia="仿宋" w:cs="仿宋"/>
                <w:b w:val="0"/>
                <w:bCs w:val="0"/>
                <w:sz w:val="24"/>
                <w:szCs w:val="24"/>
                <w:highlight w:val="none"/>
              </w:rPr>
              <w:t>保障相关业务的无缝衔接和运营需求。相关对接接口和信息，以及具体对接工作，采购人将在合同签订后予以协调落实及开展，接入和对接有可能产生的费用包含在项目总价当中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w:t>
            </w:r>
          </w:p>
        </w:tc>
      </w:tr>
      <w:tr w14:paraId="03BF93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97" w:hRule="atLeast"/>
        </w:trPr>
        <w:tc>
          <w:tcPr>
            <w:tcW w:w="1038" w:type="dxa"/>
          </w:tcPr>
          <w:p w14:paraId="0D6ADB8F">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2074" w:type="dxa"/>
            <w:shd w:val="clear" w:color="auto" w:fill="auto"/>
          </w:tcPr>
          <w:p w14:paraId="165BB12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5</w:t>
            </w:r>
          </w:p>
        </w:tc>
        <w:tc>
          <w:tcPr>
            <w:tcW w:w="5194" w:type="dxa"/>
          </w:tcPr>
          <w:p w14:paraId="2709824D">
            <w:pPr>
              <w:pStyle w:val="7"/>
              <w:jc w:val="left"/>
              <w:rPr>
                <w:rFonts w:hint="eastAsia" w:ascii="仿宋" w:hAnsi="仿宋" w:eastAsia="仿宋" w:cs="仿宋"/>
                <w:b w:val="0"/>
                <w:bCs w:val="0"/>
                <w:sz w:val="24"/>
                <w:szCs w:val="24"/>
                <w:highlight w:val="none"/>
              </w:rPr>
            </w:pPr>
            <w:r>
              <w:rPr>
                <w:rFonts w:hint="eastAsia" w:ascii="仿宋" w:hAnsi="仿宋" w:eastAsia="仿宋" w:cs="仿宋"/>
                <w:b w:val="0"/>
                <w:bCs/>
                <w:sz w:val="24"/>
                <w:szCs w:val="24"/>
                <w:highlight w:val="none"/>
              </w:rPr>
              <w:t>10.4★本项目货物质保期要求为：货物经最终验收合格后至少5年。在质量保证期内运行发生故障时，投标人在接到采购人故障通知后1小时内应委派专业技术人员到现场免费提供咨询、维修和更换零部件等服务，并及时填写维修报告（包括故障原因、处理情况及采购人意见等）报采购人备案，若4小时内无法排除故障，则应先提供同档次备用机供采购人使用，其中发生一切费用由投标人承担。</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tc>
      </w:tr>
      <w:tr w14:paraId="12B5FD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47ADF04">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2074" w:type="dxa"/>
            <w:shd w:val="clear" w:color="auto" w:fill="auto"/>
          </w:tcPr>
          <w:p w14:paraId="21CF478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带★号条款</w:t>
            </w:r>
            <w:r>
              <w:rPr>
                <w:rFonts w:hint="eastAsia" w:ascii="仿宋" w:hAnsi="仿宋" w:eastAsia="仿宋" w:cs="仿宋"/>
                <w:sz w:val="24"/>
                <w:szCs w:val="24"/>
                <w:highlight w:val="none"/>
                <w:lang w:val="en-US" w:eastAsia="zh-CN"/>
              </w:rPr>
              <w:t>6</w:t>
            </w:r>
          </w:p>
        </w:tc>
        <w:tc>
          <w:tcPr>
            <w:tcW w:w="5194" w:type="dxa"/>
          </w:tcPr>
          <w:p w14:paraId="2CED066B">
            <w:pPr>
              <w:pStyle w:val="7"/>
              <w:jc w:val="left"/>
              <w:rPr>
                <w:rFonts w:hint="eastAsia" w:ascii="仿宋" w:hAnsi="仿宋" w:eastAsia="仿宋" w:cs="仿宋"/>
                <w:b w:val="0"/>
                <w:bCs w:val="0"/>
                <w:sz w:val="24"/>
                <w:szCs w:val="24"/>
                <w:highlight w:val="none"/>
              </w:rPr>
            </w:pPr>
            <w:r>
              <w:rPr>
                <w:rFonts w:hint="eastAsia" w:ascii="仿宋" w:hAnsi="仿宋" w:eastAsia="仿宋" w:cs="仿宋"/>
                <w:b w:val="0"/>
                <w:bCs/>
                <w:sz w:val="24"/>
                <w:szCs w:val="24"/>
                <w:highlight w:val="none"/>
              </w:rPr>
              <w:t>10.5★项目初验完成至维保期结束，中标人须派驻至少1名工程师负责现场服务（届时提供工程师证书复印件及中标人在投标截止时间前六个月（不含投标截止时间的当月）中任一月份为其缴纳社保的证明文件），驻点时间为每周至少5天，每天至少7小时（或同医院上班时间）。投标人</w:t>
            </w:r>
            <w:r>
              <w:rPr>
                <w:rFonts w:hint="eastAsia" w:ascii="仿宋" w:hAnsi="仿宋" w:eastAsia="仿宋" w:cs="仿宋"/>
                <w:b w:val="0"/>
                <w:bCs/>
                <w:sz w:val="24"/>
                <w:szCs w:val="24"/>
                <w:highlight w:val="none"/>
                <w:lang w:eastAsia="zh-CN"/>
              </w:rPr>
              <w:t>对此需提供书面承诺（格式自拟）</w:t>
            </w:r>
            <w:r>
              <w:rPr>
                <w:rFonts w:hint="eastAsia" w:ascii="仿宋" w:hAnsi="仿宋" w:eastAsia="仿宋" w:cs="仿宋"/>
                <w:b w:val="0"/>
                <w:bCs/>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tc>
      </w:tr>
      <w:tr w14:paraId="5A990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1B4F4B0">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2074" w:type="dxa"/>
            <w:shd w:val="clear" w:color="auto" w:fill="auto"/>
          </w:tcPr>
          <w:p w14:paraId="605DABBB">
            <w:pPr>
              <w:pStyle w:val="7"/>
              <w:jc w:val="left"/>
              <w:rPr>
                <w:rFonts w:hint="eastAsia" w:ascii="仿宋" w:hAnsi="仿宋" w:eastAsia="仿宋" w:cs="仿宋"/>
                <w:sz w:val="24"/>
                <w:szCs w:val="24"/>
                <w:highlight w:val="none"/>
              </w:rPr>
            </w:pPr>
            <w:r>
              <w:rPr>
                <w:rFonts w:hint="default" w:ascii="仿宋" w:hAnsi="仿宋" w:eastAsia="仿宋" w:cs="仿宋"/>
                <w:sz w:val="24"/>
                <w:szCs w:val="24"/>
                <w:highlight w:val="none"/>
                <w:lang w:val="en-US"/>
              </w:rPr>
              <w:t>带★号条款7</w:t>
            </w:r>
          </w:p>
        </w:tc>
        <w:tc>
          <w:tcPr>
            <w:tcW w:w="5194" w:type="dxa"/>
          </w:tcPr>
          <w:p w14:paraId="E1E9FC55">
            <w:pPr>
              <w:pStyle w:val="7"/>
              <w:jc w:val="left"/>
              <w:rPr>
                <w:rFonts w:hint="eastAsia" w:ascii="仿宋" w:hAnsi="仿宋" w:eastAsia="仿宋" w:cs="仿宋"/>
                <w:b/>
                <w:sz w:val="24"/>
                <w:szCs w:val="24"/>
                <w:highlight w:val="none"/>
              </w:rPr>
            </w:pPr>
            <w:r>
              <w:rPr>
                <w:rFonts w:hint="default" w:ascii="仿宋" w:hAnsi="仿宋" w:eastAsia="仿宋" w:cs="仿宋"/>
                <w:b/>
                <w:bCs/>
                <w:i w:val="0"/>
                <w:iCs w:val="0"/>
                <w:color w:val="auto"/>
                <w:sz w:val="24"/>
                <w:szCs w:val="24"/>
                <w:highlight w:val="none"/>
                <w:vertAlign w:val="baseline"/>
                <w:lang w:val="en-US"/>
              </w:rPr>
              <w:t>★</w:t>
            </w:r>
            <w:r>
              <w:rPr>
                <w:rFonts w:hint="default" w:ascii="仿宋" w:hAnsi="仿宋" w:eastAsia="仿宋" w:cs="仿宋"/>
                <w:b w:val="0"/>
                <w:bCs w:val="0"/>
                <w:i w:val="0"/>
                <w:iCs w:val="0"/>
                <w:color w:val="auto"/>
                <w:sz w:val="24"/>
                <w:szCs w:val="24"/>
                <w:highlight w:val="none"/>
                <w:vertAlign w:val="baseline"/>
                <w:lang w:val="en-US" w:eastAsia="zh-CN"/>
              </w:rPr>
              <w:t>5.9</w:t>
            </w:r>
            <w:r>
              <w:rPr>
                <w:rFonts w:hint="default" w:ascii="仿宋" w:hAnsi="仿宋" w:eastAsia="仿宋" w:cs="仿宋"/>
                <w:b w:val="0"/>
                <w:bCs w:val="0"/>
                <w:i w:val="0"/>
                <w:iCs w:val="0"/>
                <w:color w:val="auto"/>
                <w:sz w:val="24"/>
                <w:szCs w:val="24"/>
                <w:highlight w:val="none"/>
                <w:vertAlign w:val="baseline"/>
                <w:lang w:val="en-US"/>
              </w:rPr>
              <w:t>近三年存在弄虚作假的行为，被政府或政府有关部门记不良行为记录的，不得参与本项目投标</w:t>
            </w:r>
            <w:r>
              <w:rPr>
                <w:rFonts w:hint="eastAsia" w:ascii="仿宋" w:hAnsi="仿宋" w:eastAsia="仿宋" w:cs="仿宋"/>
                <w:b/>
                <w:bCs/>
                <w:i w:val="0"/>
                <w:iCs w:val="0"/>
                <w:color w:val="auto"/>
                <w:sz w:val="24"/>
                <w:szCs w:val="24"/>
                <w:highlight w:val="none"/>
                <w:vertAlign w:val="baseline"/>
                <w:lang w:val="en-US" w:eastAsia="zh-CN"/>
              </w:rPr>
              <w:t>（投标人对此需提供书面承诺（格式自拟），否则投标无效）</w:t>
            </w:r>
            <w:r>
              <w:rPr>
                <w:rFonts w:hint="default" w:ascii="仿宋" w:hAnsi="仿宋" w:eastAsia="仿宋" w:cs="仿宋"/>
                <w:b/>
                <w:bCs/>
                <w:i w:val="0"/>
                <w:iCs w:val="0"/>
                <w:color w:val="auto"/>
                <w:sz w:val="24"/>
                <w:szCs w:val="24"/>
                <w:highlight w:val="none"/>
                <w:vertAlign w:val="baseline"/>
                <w:lang w:val="en-US" w:eastAsia="zh-CN"/>
              </w:rPr>
              <w:t>。</w:t>
            </w:r>
          </w:p>
        </w:tc>
      </w:tr>
      <w:tr w14:paraId="14237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18B32C47">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2074" w:type="dxa"/>
            <w:shd w:val="clear" w:color="auto" w:fill="auto"/>
            <w:vAlign w:val="top"/>
          </w:tcPr>
          <w:p w14:paraId="2744294A">
            <w:pPr>
              <w:pStyle w:val="7"/>
              <w:jc w:val="left"/>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rPr>
              <w:t>带★号条款</w:t>
            </w:r>
            <w:r>
              <w:rPr>
                <w:rFonts w:hint="eastAsia" w:ascii="仿宋" w:hAnsi="仿宋" w:eastAsia="仿宋" w:cs="仿宋"/>
                <w:sz w:val="24"/>
                <w:szCs w:val="24"/>
                <w:highlight w:val="none"/>
                <w:lang w:val="en-US" w:eastAsia="zh-CN"/>
              </w:rPr>
              <w:t>8</w:t>
            </w:r>
          </w:p>
        </w:tc>
        <w:tc>
          <w:tcPr>
            <w:tcW w:w="5194" w:type="dxa"/>
            <w:shd w:val="clear" w:color="auto" w:fill="auto"/>
            <w:vAlign w:val="top"/>
          </w:tcPr>
          <w:p w14:paraId="19848103">
            <w:pPr>
              <w:pStyle w:val="7"/>
              <w:jc w:val="left"/>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2.3</w:t>
            </w:r>
            <w:r>
              <w:rPr>
                <w:rFonts w:hint="eastAsia" w:ascii="仿宋" w:hAnsi="仿宋" w:eastAsia="仿宋" w:cs="仿宋"/>
                <w:b/>
                <w:sz w:val="24"/>
                <w:szCs w:val="24"/>
                <w:highlight w:val="none"/>
              </w:rPr>
              <w:t>投标人承诺：1、所投的所有货物（产品、设备）均具有在中国境内的合法使用权和用户保护权且为全新原装品牌产品；2、若所投货物（产品、设备）属于国家有强制性产品认证要求的，均已通过中国强制性产品认证（3C认证）；3、若所投货物（产品、设备）属于列入《网络关键设备和网络安全专用产品目录》的网络安全专用产品，均完全符合《信息安全技术 网络安全专用产品安全技术要求》等相关国家标准的强制性要求</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4、所投标的所有货物（产品、设备）均符合国家相关所有法律法规要求，满足出厂、上市销售的条件。投标人承诺以上承诺内容，有任何一条不满足的，采购人可不予验收通过，同时，采购人有权追究投标人违约责任。</w:t>
            </w:r>
          </w:p>
          <w:p w14:paraId="4B7AE074">
            <w:pPr>
              <w:pStyle w:val="7"/>
              <w:jc w:val="left"/>
              <w:rPr>
                <w:rFonts w:hint="default" w:ascii="仿宋" w:hAnsi="仿宋" w:eastAsia="仿宋" w:cs="仿宋"/>
                <w:sz w:val="24"/>
                <w:szCs w:val="24"/>
                <w:highlight w:val="none"/>
                <w:lang w:val="en-US"/>
              </w:rPr>
            </w:pPr>
            <w:r>
              <w:rPr>
                <w:rFonts w:hint="eastAsia" w:ascii="仿宋" w:hAnsi="仿宋" w:eastAsia="仿宋" w:cs="仿宋"/>
                <w:b/>
                <w:sz w:val="24"/>
                <w:szCs w:val="24"/>
                <w:highlight w:val="none"/>
              </w:rPr>
              <w:t>【投标人须提供书面承诺（格式自拟）并加盖投标人公章（或电子公章），否则作无效投标处理】</w:t>
            </w:r>
            <w:r>
              <w:rPr>
                <w:rFonts w:hint="eastAsia" w:ascii="仿宋" w:hAnsi="仿宋" w:eastAsia="仿宋" w:cs="仿宋"/>
                <w:sz w:val="24"/>
                <w:szCs w:val="24"/>
              </w:rPr>
              <w:t>。</w:t>
            </w:r>
          </w:p>
        </w:tc>
      </w:tr>
    </w:tbl>
    <w:p w14:paraId="2F4A4C0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②本项目规定的其他情形：</w:t>
      </w:r>
    </w:p>
    <w:p w14:paraId="02147F4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p w14:paraId="48C0747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技术符合性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2"/>
        <w:gridCol w:w="7114"/>
      </w:tblGrid>
      <w:tr w14:paraId="1C662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92" w:type="dxa"/>
          </w:tcPr>
          <w:p w14:paraId="1ADE21F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情形</w:t>
            </w:r>
          </w:p>
        </w:tc>
        <w:tc>
          <w:tcPr>
            <w:tcW w:w="7114" w:type="dxa"/>
          </w:tcPr>
          <w:p w14:paraId="4AF58E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明细</w:t>
            </w:r>
          </w:p>
        </w:tc>
      </w:tr>
      <w:tr w14:paraId="0AA1C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92" w:type="dxa"/>
          </w:tcPr>
          <w:p w14:paraId="422B2B7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其他情形</w:t>
            </w:r>
          </w:p>
        </w:tc>
        <w:tc>
          <w:tcPr>
            <w:tcW w:w="7114" w:type="dxa"/>
          </w:tcPr>
          <w:p w14:paraId="1194C58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未实质性响应招标文件技术要求，作无效投标处理。</w:t>
            </w:r>
          </w:p>
        </w:tc>
      </w:tr>
      <w:tr w14:paraId="2A4531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92" w:type="dxa"/>
          </w:tcPr>
          <w:p w14:paraId="3EF22F6E">
            <w:pPr>
              <w:pStyle w:val="7"/>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其他情形</w:t>
            </w:r>
          </w:p>
        </w:tc>
        <w:tc>
          <w:tcPr>
            <w:tcW w:w="7114" w:type="dxa"/>
            <w:shd w:val="clear" w:color="auto" w:fill="auto"/>
            <w:vAlign w:val="center"/>
          </w:tcPr>
          <w:p w14:paraId="50627BA5">
            <w:pPr>
              <w:keepNext w:val="0"/>
              <w:keepLines w:val="0"/>
              <w:widowControl/>
              <w:suppressLineNumbers w:val="0"/>
              <w:adjustRightInd/>
              <w:snapToGrid/>
              <w:spacing w:before="0" w:beforeAutospacing="0" w:after="0" w:afterAutospacing="0"/>
              <w:ind w:left="0" w:leftChars="0" w:right="0" w:rightChars="0"/>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rPr>
              <w:t>按照闽财购〔2010〕28号文件规定，若</w:t>
            </w:r>
            <w:r>
              <w:rPr>
                <w:rFonts w:hint="eastAsia" w:ascii="仿宋" w:hAnsi="仿宋" w:eastAsia="仿宋" w:cs="仿宋"/>
                <w:color w:val="auto"/>
                <w:kern w:val="2"/>
                <w:sz w:val="24"/>
                <w:szCs w:val="24"/>
                <w:highlight w:val="none"/>
                <w:lang w:eastAsia="zh-CN"/>
              </w:rPr>
              <w:t>投标人</w:t>
            </w:r>
            <w:r>
              <w:rPr>
                <w:rFonts w:hint="eastAsia" w:ascii="仿宋" w:hAnsi="仿宋" w:eastAsia="仿宋" w:cs="仿宋"/>
                <w:color w:val="auto"/>
                <w:kern w:val="2"/>
                <w:sz w:val="24"/>
                <w:szCs w:val="24"/>
                <w:highlight w:val="none"/>
              </w:rPr>
              <w:t>的技术部分实际得分少于</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设定的技术部分总分50%，即视为技术部分未实质性响应</w:t>
            </w:r>
            <w:r>
              <w:rPr>
                <w:rFonts w:hint="eastAsia" w:ascii="仿宋" w:hAnsi="仿宋" w:eastAsia="仿宋" w:cs="仿宋"/>
                <w:color w:val="auto"/>
                <w:kern w:val="2"/>
                <w:sz w:val="24"/>
                <w:szCs w:val="24"/>
                <w:highlight w:val="none"/>
                <w:lang w:val="en-US" w:eastAsia="zh-CN"/>
              </w:rPr>
              <w:t>招标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要求，</w:t>
            </w:r>
            <w:r>
              <w:rPr>
                <w:rFonts w:hint="eastAsia" w:ascii="仿宋" w:hAnsi="仿宋" w:eastAsia="仿宋" w:cs="仿宋"/>
                <w:sz w:val="24"/>
                <w:szCs w:val="24"/>
                <w:highlight w:val="none"/>
              </w:rPr>
              <w:t>作无效投标处理</w:t>
            </w:r>
            <w:r>
              <w:rPr>
                <w:rFonts w:hint="eastAsia" w:ascii="仿宋" w:hAnsi="仿宋" w:eastAsia="仿宋" w:cs="仿宋"/>
                <w:color w:val="auto"/>
                <w:kern w:val="2"/>
                <w:sz w:val="24"/>
                <w:szCs w:val="24"/>
                <w:highlight w:val="none"/>
              </w:rPr>
              <w:t>。</w:t>
            </w:r>
          </w:p>
        </w:tc>
      </w:tr>
    </w:tbl>
    <w:p w14:paraId="535056C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商务符合性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9"/>
        <w:gridCol w:w="7097"/>
      </w:tblGrid>
      <w:tr w14:paraId="1464BC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209" w:type="dxa"/>
          </w:tcPr>
          <w:p w14:paraId="32BE0AB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情形</w:t>
            </w:r>
          </w:p>
        </w:tc>
        <w:tc>
          <w:tcPr>
            <w:tcW w:w="7097" w:type="dxa"/>
          </w:tcPr>
          <w:p w14:paraId="5F06EC1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明细</w:t>
            </w:r>
          </w:p>
        </w:tc>
      </w:tr>
      <w:tr w14:paraId="74605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09" w:type="dxa"/>
          </w:tcPr>
          <w:p w14:paraId="457C125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其他情形</w:t>
            </w:r>
          </w:p>
        </w:tc>
        <w:tc>
          <w:tcPr>
            <w:tcW w:w="7097" w:type="dxa"/>
          </w:tcPr>
          <w:p w14:paraId="261BBC6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未实质性响应招标文件商务要求，可作无效投标处理。</w:t>
            </w:r>
          </w:p>
        </w:tc>
      </w:tr>
    </w:tbl>
    <w:p w14:paraId="5C517CA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附加符合性：无</w:t>
      </w:r>
    </w:p>
    <w:p w14:paraId="27507CC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价格符合性：</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26"/>
        <w:gridCol w:w="7080"/>
      </w:tblGrid>
      <w:tr w14:paraId="21D8B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26" w:type="dxa"/>
          </w:tcPr>
          <w:p w14:paraId="0F3A70A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情形</w:t>
            </w:r>
          </w:p>
        </w:tc>
        <w:tc>
          <w:tcPr>
            <w:tcW w:w="7080" w:type="dxa"/>
          </w:tcPr>
          <w:p w14:paraId="51FC181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明细</w:t>
            </w:r>
          </w:p>
        </w:tc>
      </w:tr>
      <w:tr w14:paraId="2568A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226" w:type="dxa"/>
          </w:tcPr>
          <w:p w14:paraId="6B43C94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其他情形</w:t>
            </w:r>
          </w:p>
        </w:tc>
        <w:tc>
          <w:tcPr>
            <w:tcW w:w="7080" w:type="dxa"/>
          </w:tcPr>
          <w:p w14:paraId="47E9025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项目设有最高限价，本项目最高限价将由厦门市财政审核中心出具，最迟在投标截止时间15个日历日前公布，不足15日的将顺延投标截止时间及开标时间，请投标人关注。投标人的投标报价超出最高限价的，视为无效投标。（招标文件中最高限价要求与本条款不一致的以本条款为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tc>
      </w:tr>
    </w:tbl>
    <w:p w14:paraId="747DEB7B">
      <w:pPr>
        <w:pStyle w:val="7"/>
        <w:jc w:val="left"/>
        <w:rPr>
          <w:rFonts w:hint="eastAsia" w:ascii="仿宋" w:hAnsi="仿宋" w:eastAsia="仿宋" w:cs="仿宋"/>
          <w:sz w:val="24"/>
          <w:szCs w:val="24"/>
          <w:highlight w:val="none"/>
        </w:rPr>
      </w:pPr>
    </w:p>
    <w:p w14:paraId="3E5717E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6.3澄清有关问题</w:t>
      </w:r>
    </w:p>
    <w:p w14:paraId="3CE8AA0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（1）对通过符合性审查的电子投标文件中含义不明确、同类问题表述不一致或有明显文字和计算错误的内容，评标委员会将以书面形式要求投标人作出必要的澄清、说明或补正。</w:t>
      </w:r>
    </w:p>
    <w:p w14:paraId="58842C6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14:paraId="15F89A2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（3）电子投标文件报价出现前后不一致的，除招标文件另有规定外，按照下列规定修正：</w:t>
      </w:r>
    </w:p>
    <w:p w14:paraId="2689560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①开标（报价）一览表内容与电子投标文件中相应内容不一致的，以开标（报价）一览表为准；</w:t>
      </w:r>
    </w:p>
    <w:p w14:paraId="43D8AC6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②大写金额和小写金额不一致的，以大写金额为准；</w:t>
      </w:r>
    </w:p>
    <w:p w14:paraId="36D9618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③单价金额小数点或百分比有明显错位的，以开标（报价）一览表的总价为准，并修改单价；</w:t>
      </w:r>
    </w:p>
    <w:p w14:paraId="632FBE7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④总价金额与按照单价汇总金额不一致的，以单价金额计算结果为准。</w:t>
      </w:r>
    </w:p>
    <w:p w14:paraId="19773DF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※同时出现两种以上不一致的，按照前款规定的顺序修正。修正后的报价应按照本章第6.3条第（1）、（2）款规定经投标人确认后产生约束力，投标人不确认的，其投标无效。</w:t>
      </w:r>
    </w:p>
    <w:p w14:paraId="6523AF9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（4）关于细微偏差</w:t>
      </w:r>
    </w:p>
    <w:p w14:paraId="4F49C11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14:paraId="541BEF0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②评标委员会将以书面形式要求存在细微偏差的投标人在评标委员会规定的时间内予以补正。若无法补正，则评标委员会将按照不利于投标人的内容进行认定。</w:t>
      </w:r>
    </w:p>
    <w:p w14:paraId="20EAEDF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（5）关于投标描述（即电子投标文件中描述的内容）</w:t>
      </w:r>
    </w:p>
    <w:p w14:paraId="3A672B7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①投标描述前后不一致且不涉及证明材料的：按照本章第6.3条第（1）、（2）款规定执行。</w:t>
      </w:r>
    </w:p>
    <w:p w14:paraId="04F4BDC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②投标描述与证明材料不一致或多份证明材料之间不一致的：</w:t>
      </w:r>
    </w:p>
    <w:p w14:paraId="0672A46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a.评标委员会将要求投标人进行书面澄清，并按照不利于投标人的内容进行评标。</w:t>
      </w:r>
    </w:p>
    <w:p w14:paraId="779FCF4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14:paraId="5935A64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14:paraId="45AAABA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6.4比较与评价</w:t>
      </w:r>
    </w:p>
    <w:p w14:paraId="5D40F0A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（1）按照本章第7条载明的评标方法和标准，对符合性审查合格的电子投标文件进行比较与评价。</w:t>
      </w:r>
    </w:p>
    <w:p w14:paraId="00B1CC2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（2）关于相同品牌产品（政府采购服务类项目不适用本条款规定）</w:t>
      </w:r>
    </w:p>
    <w:p w14:paraId="2919E80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14:paraId="13A4AD9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a.招标文件规定的方式：</w:t>
      </w:r>
    </w:p>
    <w:p w14:paraId="1E2E3B4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p w14:paraId="12D3FDB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b.招标文件未规定的，采取随机抽取方式确定，其他投标无效。</w:t>
      </w:r>
    </w:p>
    <w:p w14:paraId="63E3D54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14:paraId="744B3FD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a.招标文件规定的方式：</w:t>
      </w:r>
    </w:p>
    <w:p w14:paraId="1D4BF8C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无</w:t>
      </w:r>
    </w:p>
    <w:p w14:paraId="46EA68A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b.招标文件未规定的，采取随机抽取方式确定，其他同品牌投标人不作为中标候选人。</w:t>
      </w:r>
    </w:p>
    <w:p w14:paraId="5B5A56A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③非单一产品采购项目，多家投标人提供的核心产品品牌相同的，按照本章第6.4条第（2）款第①、②规定处理。</w:t>
      </w:r>
    </w:p>
    <w:p w14:paraId="044BC9B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（3）漏（缺）项</w:t>
      </w:r>
    </w:p>
    <w:p w14:paraId="37B0539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①招标文件中要求列入报价的费用（含配置、功能），漏（缺）项的报价视为已经包括在投标总价中。</w:t>
      </w:r>
    </w:p>
    <w:p w14:paraId="78E1858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②对多报项及赠送项的价格评标时不予核减，全部进入评标价评议。</w:t>
      </w:r>
    </w:p>
    <w:p w14:paraId="6002F58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6.5推荐中标候选人：详见本章第7.2条规定。</w:t>
      </w:r>
    </w:p>
    <w:p w14:paraId="05C71D4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6.6编写评标报告</w:t>
      </w:r>
    </w:p>
    <w:p w14:paraId="7931DE6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（1）评标报告由评标委员会负责编写。</w:t>
      </w:r>
    </w:p>
    <w:p w14:paraId="0259396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（2）评标报告应包括下列内容：</w:t>
      </w:r>
    </w:p>
    <w:p w14:paraId="192CDC2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①招标公告刊登的媒体名称、开标日期和地点；</w:t>
      </w:r>
    </w:p>
    <w:p w14:paraId="5D9401E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②投标人名单和评标委员会成员名单；</w:t>
      </w:r>
    </w:p>
    <w:p w14:paraId="2602EEE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③评标方法和标准；</w:t>
      </w:r>
    </w:p>
    <w:p w14:paraId="22A0EFC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④开标记录和评标情况及说明，包括无效投标人名单及原因；</w:t>
      </w:r>
    </w:p>
    <w:p w14:paraId="25F27C0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⑤评标结果，包括中标候选人名单或确定的中标人；</w:t>
      </w:r>
    </w:p>
    <w:p w14:paraId="21B9D09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⑥其他需要说明的情况，包括但不限于：评标过程中投标人的澄清、说明或补正，评委更换等。</w:t>
      </w:r>
    </w:p>
    <w:p w14:paraId="2788051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14:paraId="2250100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6.8评委对需要共同认定的事项存在争议的，应按照少数服从多数的原则进行认定。持不同意见的评委应在评标报告上签署不同意见及理由，否则视为同意评标报告。</w:t>
      </w:r>
    </w:p>
    <w:p w14:paraId="518F0A3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6.9在评标过程中发现投标人有下列情形之一的，评标委员会应认定其投标无效，并书面报告本项目监督管理部门：</w:t>
      </w:r>
    </w:p>
    <w:p w14:paraId="4667DA8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（1）恶意串通（包括但不限于招标文件第三章第9.7条规定情形）；</w:t>
      </w:r>
    </w:p>
    <w:p w14:paraId="70D6C4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（2）妨碍其他投标人的竞争行为；</w:t>
      </w:r>
    </w:p>
    <w:p w14:paraId="0880C5F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（3）损害采购人或其他投标人的合法权益。</w:t>
      </w:r>
    </w:p>
    <w:p w14:paraId="7329A35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6.10评标过程中，有下列情形之一的，应予废标：</w:t>
      </w:r>
    </w:p>
    <w:p w14:paraId="6623387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（1）符合性审查合格的投标人不足三家的；</w:t>
      </w:r>
    </w:p>
    <w:p w14:paraId="136A9AD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（2）有关法律、法规和规章规定废标的情形。</w:t>
      </w:r>
    </w:p>
    <w:p w14:paraId="0CFD63D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※若废标，则本次采购活动结束， </w:t>
      </w:r>
      <w:r>
        <w:rPr>
          <w:rFonts w:hint="eastAsia" w:ascii="仿宋" w:hAnsi="仿宋" w:eastAsia="仿宋" w:cs="仿宋"/>
          <w:sz w:val="24"/>
          <w:szCs w:val="24"/>
          <w:highlight w:val="none"/>
          <w:lang w:eastAsia="zh-CN"/>
        </w:rPr>
        <w:t>福建省闽招咨询管理有限公司</w:t>
      </w:r>
      <w:r>
        <w:rPr>
          <w:rFonts w:hint="eastAsia" w:ascii="仿宋" w:hAnsi="仿宋" w:eastAsia="仿宋" w:cs="仿宋"/>
          <w:sz w:val="24"/>
          <w:szCs w:val="24"/>
          <w:highlight w:val="none"/>
        </w:rPr>
        <w:t xml:space="preserve"> 将依法组织后续采购活动（包括但不限于：重新招标、采用其他方式采购等）。</w:t>
      </w:r>
    </w:p>
    <w:p w14:paraId="7327DAB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7、评标方法和标准</w:t>
      </w:r>
    </w:p>
    <w:p w14:paraId="611E0F2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7.1评标方法：</w:t>
      </w:r>
    </w:p>
    <w:p w14:paraId="36EB6E7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采购包1：综合评分法</w:t>
      </w:r>
    </w:p>
    <w:p w14:paraId="7D9BFE4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7.2评标标准</w:t>
      </w:r>
    </w:p>
    <w:p w14:paraId="2F690A8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采购包1：综合评分法</w:t>
      </w:r>
    </w:p>
    <w:p w14:paraId="7F69A88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（1）投标文件满足招标文件全部实质性要求，且按照评审因素的量化指标评审得分（即评标总得分）最高的投标人为中标候选人。</w:t>
      </w:r>
    </w:p>
    <w:p w14:paraId="01960CD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（2）每个投标人的评标总得分FA＝F1×A1＋F2×A2＋F3×A3 ，其中：F1指价格项评审因素得分、F2指技术项评审因素得分、F3指商务项评审因素得分，A1指价格项评审因素所占的权重、A2指技术项评审因素所占的权重、A3指商务项评审因素所占的权重，A1+A2+A3=1、F1×A1＋F2×A2＋F3×A3=100分（满分时） 。</w:t>
      </w:r>
    </w:p>
    <w:p w14:paraId="08D836E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各项评审因素的设置如下：</w:t>
      </w:r>
    </w:p>
    <w:p w14:paraId="2753BDE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价格项（F1×A1）满分为30.00分</w:t>
      </w:r>
    </w:p>
    <w:p w14:paraId="09E8F52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满足招标文件要求且报价最低的为评审基准价，价格得分=（评审基准价/报价）×价格分满分分值</w:t>
      </w:r>
    </w:p>
    <w:p w14:paraId="43DF1F20">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价格扣除的规则如下：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831"/>
        <w:gridCol w:w="4153"/>
      </w:tblGrid>
      <w:tr w14:paraId="71D097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14:paraId="0AACB0CC">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项目</w:t>
            </w:r>
          </w:p>
        </w:tc>
        <w:tc>
          <w:tcPr>
            <w:tcW w:w="1661" w:type="dxa"/>
          </w:tcPr>
          <w:p w14:paraId="3B13F75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适用对象</w:t>
            </w:r>
          </w:p>
        </w:tc>
        <w:tc>
          <w:tcPr>
            <w:tcW w:w="831" w:type="dxa"/>
          </w:tcPr>
          <w:p w14:paraId="09483133">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比例</w:t>
            </w:r>
          </w:p>
        </w:tc>
        <w:tc>
          <w:tcPr>
            <w:tcW w:w="4153" w:type="dxa"/>
          </w:tcPr>
          <w:p w14:paraId="20DDEA40">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描述</w:t>
            </w:r>
          </w:p>
        </w:tc>
      </w:tr>
    </w:tbl>
    <w:p w14:paraId="6EE9E0D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优先类节能产品、环境标志产品的价格扣除规则如下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1038"/>
        <w:gridCol w:w="5191"/>
      </w:tblGrid>
      <w:tr w14:paraId="1EA502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7DD477D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项目</w:t>
            </w:r>
          </w:p>
        </w:tc>
        <w:tc>
          <w:tcPr>
            <w:tcW w:w="1038" w:type="dxa"/>
          </w:tcPr>
          <w:p w14:paraId="0DADE4FC">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比例</w:t>
            </w:r>
          </w:p>
        </w:tc>
        <w:tc>
          <w:tcPr>
            <w:tcW w:w="5191" w:type="dxa"/>
          </w:tcPr>
          <w:p w14:paraId="56CEA428">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方法</w:t>
            </w:r>
          </w:p>
        </w:tc>
      </w:tr>
      <w:tr w14:paraId="458B2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5013AF5">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节能、环境标志产品</w:t>
            </w:r>
          </w:p>
        </w:tc>
        <w:tc>
          <w:tcPr>
            <w:tcW w:w="1038" w:type="dxa"/>
          </w:tcPr>
          <w:p w14:paraId="3E7B6354">
            <w:pPr>
              <w:pStyle w:val="7"/>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10.00%</w:t>
            </w:r>
          </w:p>
        </w:tc>
        <w:tc>
          <w:tcPr>
            <w:tcW w:w="5191" w:type="dxa"/>
          </w:tcPr>
          <w:p w14:paraId="3604A44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（1）经认定，投标人提供的产品属于优先采购节能、环境标志产品的，给予该部分优先采购节能、环境标志产品10％的价格扣除，用扣除后的价格参与评审。 （2）投标人须对优先采购节能、环境标志产品进行分项报价，并提供相关产品的节能产品、环境标志产品有效认证证书及《优先类节能产品、环境标志产品统计表》。非优先采购节能、环境标志产品及《节能产品政府采购品目清单》内强制采购产品（详见招标文件“第四章/二、评标/6.2符合性审查/（6）-①项目一般情形”中列明的“强制采购节能产品”）报价不得享受节能产品、环境标志产品的价格扣除优惠。 【说明：①节能产品：按照《关于调整优化节能产品、环境标志产品政府采购执行机制的通知》（财库〔2019〕9号）以及最新的《节能产品政府采购品目清单》的规定执行。②环境标志产品：按照《关于调整优化节能产品、环境标志产品政府采购执行机制的通知》（财库〔2019〕9号）以及最新的《环境标志产品政府采购品目清单》的规定执行。】 </w:t>
            </w:r>
            <w:r>
              <w:rPr>
                <w:rFonts w:hint="eastAsia" w:ascii="仿宋" w:hAnsi="仿宋" w:eastAsia="仿宋" w:cs="仿宋"/>
                <w:b/>
                <w:bCs/>
                <w:sz w:val="24"/>
                <w:szCs w:val="24"/>
                <w:highlight w:val="none"/>
              </w:rPr>
              <w:t>【提醒：投标人可将分项报价表，中小企业声明函，中型、小型、微型企业生产货物份额占比情况表等报价材料在此模块上传。】</w:t>
            </w:r>
          </w:p>
        </w:tc>
      </w:tr>
    </w:tbl>
    <w:p w14:paraId="73F4B03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其他：无</w:t>
      </w:r>
    </w:p>
    <w:p w14:paraId="1BF07B98">
      <w:pPr>
        <w:pStyle w:val="7"/>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技术项（F2×A2）满分为55.00分</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6"/>
        <w:gridCol w:w="576"/>
        <w:gridCol w:w="456"/>
        <w:gridCol w:w="6794"/>
      </w:tblGrid>
      <w:tr w14:paraId="09386C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tcPr>
          <w:p w14:paraId="4CBE4705">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项目</w:t>
            </w:r>
          </w:p>
        </w:tc>
        <w:tc>
          <w:tcPr>
            <w:tcW w:w="576" w:type="dxa"/>
          </w:tcPr>
          <w:p w14:paraId="7B12C97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分值</w:t>
            </w:r>
          </w:p>
        </w:tc>
        <w:tc>
          <w:tcPr>
            <w:tcW w:w="456" w:type="dxa"/>
          </w:tcPr>
          <w:p w14:paraId="46A1B40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是否客观项</w:t>
            </w:r>
          </w:p>
        </w:tc>
        <w:tc>
          <w:tcPr>
            <w:tcW w:w="6794" w:type="dxa"/>
          </w:tcPr>
          <w:p w14:paraId="3D9ACF8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描述</w:t>
            </w:r>
          </w:p>
        </w:tc>
      </w:tr>
      <w:tr w14:paraId="3AB902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0EE24A9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576" w:type="dxa"/>
            <w:vAlign w:val="center"/>
          </w:tcPr>
          <w:p w14:paraId="602DCDD8">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73E5DCA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2750CA96">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投标人所提供的1、视频安防监控系统的“7. 充电车位枪式摄像机”完全满足以下要求得1分，未满足任何一项要求的，不得分：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烟火报警功能检验：可见光视频图像:设备可对监控画面中≥100x100个像素点的烟雾目标进行检测并给出报警提示；热成像视频图像:设备可对监控画面中大小为25x25像素的火焰目标进行检测并给出报警提示【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双光融合显示功能检验：可将热成像视频图像与可见光视频图像进行融合预览，并可在可见光视频图像上的相同比例位置处叠加热成像测温信息【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3）噪声等效温差</w:t>
            </w:r>
            <w:r>
              <w:rPr>
                <w:rFonts w:hint="eastAsia" w:ascii="仿宋" w:hAnsi="仿宋" w:eastAsia="仿宋" w:cs="仿宋"/>
                <w:color w:val="000000"/>
                <w:kern w:val="0"/>
                <w:sz w:val="24"/>
                <w:szCs w:val="24"/>
                <w:highlight w:val="none"/>
              </w:rPr>
              <w:t>(NETD)</w:t>
            </w:r>
            <w:r>
              <w:rPr>
                <w:rFonts w:hint="eastAsia" w:ascii="仿宋" w:hAnsi="仿宋" w:eastAsia="仿宋" w:cs="仿宋"/>
                <w:i w:val="0"/>
                <w:iCs w:val="0"/>
                <w:color w:val="000000"/>
                <w:kern w:val="0"/>
                <w:sz w:val="24"/>
                <w:szCs w:val="24"/>
                <w:highlight w:val="none"/>
                <w:u w:val="none"/>
                <w:lang w:val="en-US" w:eastAsia="zh-CN"/>
              </w:rPr>
              <w:t>检验：热成像视频图像噪声等效温差</w:t>
            </w:r>
            <w:r>
              <w:rPr>
                <w:rFonts w:hint="eastAsia" w:ascii="仿宋" w:hAnsi="仿宋" w:eastAsia="仿宋" w:cs="仿宋"/>
                <w:color w:val="000000"/>
                <w:kern w:val="0"/>
                <w:sz w:val="24"/>
                <w:szCs w:val="24"/>
                <w:highlight w:val="none"/>
              </w:rPr>
              <w:t>(NETD)</w:t>
            </w:r>
            <w:r>
              <w:rPr>
                <w:rFonts w:hint="eastAsia" w:ascii="仿宋" w:hAnsi="仿宋" w:eastAsia="仿宋" w:cs="仿宋"/>
                <w:i w:val="0"/>
                <w:iCs w:val="0"/>
                <w:color w:val="000000"/>
                <w:kern w:val="0"/>
                <w:sz w:val="24"/>
                <w:szCs w:val="24"/>
                <w:highlight w:val="none"/>
                <w:u w:val="none"/>
                <w:lang w:val="en-US" w:eastAsia="zh-CN"/>
              </w:rPr>
              <w:t>≤8mK【需提供国家相关主管部门认可的检验检测机构出具的有效检验检测报告扫描件佐证（报告需盖有检验检测专用章或公章，带有CMA标识）】</w:t>
            </w:r>
            <w:r>
              <w:rPr>
                <w:rFonts w:hint="eastAsia" w:ascii="仿宋" w:hAnsi="仿宋" w:eastAsia="仿宋" w:cs="仿宋"/>
                <w:color w:val="000000"/>
                <w:kern w:val="0"/>
                <w:sz w:val="24"/>
                <w:szCs w:val="24"/>
                <w:highlight w:val="none"/>
              </w:rPr>
              <w:t xml:space="preserve"> </w:t>
            </w:r>
          </w:p>
        </w:tc>
      </w:tr>
      <w:tr w14:paraId="3430F2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56F8535A">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576" w:type="dxa"/>
            <w:vAlign w:val="center"/>
          </w:tcPr>
          <w:p w14:paraId="454F42E4">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2F828D0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BD31549">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投标人所提供的1、视频安防监控系统的“9. 270°全景制高点摄像机”完全满足以下要求得0.5分，未满足任何一项要求的，不得分：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设备支持图像拼接功能，可将</w:t>
            </w:r>
            <w:r>
              <w:rPr>
                <w:rFonts w:hint="eastAsia" w:ascii="仿宋" w:hAnsi="仿宋" w:eastAsia="仿宋" w:cs="仿宋"/>
                <w:color w:val="000000"/>
                <w:kern w:val="0"/>
                <w:sz w:val="24"/>
                <w:highlight w:val="none"/>
                <w:u w:val="none"/>
                <w:lang w:val="en-US" w:eastAsia="zh-CN"/>
              </w:rPr>
              <w:t>不少于</w:t>
            </w:r>
            <w:r>
              <w:rPr>
                <w:rFonts w:hint="eastAsia" w:ascii="仿宋" w:hAnsi="仿宋" w:eastAsia="仿宋" w:cs="仿宋"/>
                <w:color w:val="000000"/>
                <w:kern w:val="0"/>
                <w:sz w:val="24"/>
                <w:highlight w:val="none"/>
                <w:u w:val="none"/>
              </w:rPr>
              <w:t>6个全景视频图像进行拼接，实现不小于270°拼接画面显示，并抓拍拼接后的图片</w:t>
            </w:r>
            <w:r>
              <w:rPr>
                <w:rFonts w:hint="eastAsia" w:ascii="仿宋" w:hAnsi="仿宋" w:eastAsia="仿宋" w:cs="仿宋"/>
                <w:i w:val="0"/>
                <w:iCs w:val="0"/>
                <w:color w:val="000000"/>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设备支持画中画预览功能，可通过IE浏览器在细节图像中叠加全景视频图像进行预览。【需提供国家相关主管部门认可的检验检测机构出具的有效检验检测报告扫描件佐证（报告需盖有检验检测专用章或公章，带有CMA标识）】</w:t>
            </w:r>
          </w:p>
        </w:tc>
      </w:tr>
      <w:tr w14:paraId="3E8FD1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1A2867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1-3</w:t>
            </w:r>
          </w:p>
        </w:tc>
        <w:tc>
          <w:tcPr>
            <w:tcW w:w="576" w:type="dxa"/>
            <w:vAlign w:val="center"/>
          </w:tcPr>
          <w:p w14:paraId="7E938E96">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0D9EC8B6">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30257D4">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投标人所提供的1、视频安防监控系统的“12. 电梯轿厢摄像机（人脸）”完全满足以下要求得1分，未满足任何一项要求的，不得分：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1）可加载运行AI开放平台。【需提供国家相关主管部门认可的检验检测机构出具的有效检验检测报告扫描件佐证（报告需盖有检验检测专用章或公章，带有CMA标识）】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用户自定义不低于4个AI算法库，可设置当前生效的算法库和显示当前算法库的运行状态，并支持修改、删除算法库及自定义算法库名称。【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可在线导入不低于8个APP，并可在线切换运行的APP，允许同时运行不少于4个APP。【需提供国家相关主管部门认可的检验检测机构出具的有效检验检测报告扫描件佐证（报告需盖有检验检测专用章或公章，带有CMA标识）】</w:t>
            </w:r>
          </w:p>
        </w:tc>
      </w:tr>
      <w:tr w14:paraId="42480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5A1E31AB">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p>
        </w:tc>
        <w:tc>
          <w:tcPr>
            <w:tcW w:w="576" w:type="dxa"/>
            <w:vAlign w:val="center"/>
          </w:tcPr>
          <w:p w14:paraId="156FBDBF">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2</w:t>
            </w:r>
          </w:p>
        </w:tc>
        <w:tc>
          <w:tcPr>
            <w:tcW w:w="456" w:type="dxa"/>
            <w:vAlign w:val="center"/>
          </w:tcPr>
          <w:p w14:paraId="201626E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4BCC15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投标人所提供的1、视频安防监控系统的“30. 48盘位磁盘阵列”完全满足以下要求得2分，未满足任何一项要求的，不得分：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设备内置大模型算法引擎，支持对目标图像和自然语言的多模态大模型建模，建立目标图像和自然语言的对应关系，目标包括人、车、非机动车及其附属物品【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内置图文搜索引擎，支持开放式语义检索，输入文字描述即可查找人、车、非机动车及附属物等目标；搜索文本最大支持文字数量不低于30个【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独立的以文搜图应用展示界面，默认支持全通道录像检索，且通道和时间范围可设；支持搜索结果相似度自定义设置展示；支持自定义选择时间范围【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搜索结果按相似度排序展示，根据搜索结果，可一键关联录像片段及以图搜图，对目标进行二次精准检索定位，还原目标的跨通道行动轨迹【需提供国家相关主管部门认可的检验检测机构出具的有效检验检测报告扫描件佐证（报告需盖有检验检测专用章或公章，带有CMA标识）】</w:t>
            </w:r>
          </w:p>
        </w:tc>
      </w:tr>
      <w:tr w14:paraId="4D093D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FDEC55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576" w:type="dxa"/>
            <w:vAlign w:val="center"/>
          </w:tcPr>
          <w:p w14:paraId="453263B4">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62AEF0F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27F9601">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投标人所提供的1、视频安防监控系统的37/50.“拼接控制器”完全满足以下要求得1分，未满足任何一项要求的，不得分：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双主控热备，当前主控异常后可以切换到备用主控工作，切换过程中电视墙画面无缝切换，无闪屏，无卡顿【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窗口叠加，支持调整叠加顺序，叠加窗口数≥32。支持设置窗口锁定，关闭所有窗口时，锁定窗口不关闭【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3）支持图形化展示机箱状态、板卡在线状态、板卡信号接入状态。【需提供国家相关主管部门认可的检验检测机构出具的有效检验检测报告扫描件佐证（报告需盖有检验检测专用章或公章，带有CMA标识）】</w:t>
            </w:r>
          </w:p>
        </w:tc>
      </w:tr>
      <w:tr w14:paraId="66F9CC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0C3C13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1-6</w:t>
            </w:r>
          </w:p>
        </w:tc>
        <w:tc>
          <w:tcPr>
            <w:tcW w:w="576" w:type="dxa"/>
            <w:vAlign w:val="center"/>
          </w:tcPr>
          <w:p w14:paraId="188BF96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6DEDAFA2">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456C373">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投标人所提供的2、监控智能分析系统的“1. 算法服务器”完全满足以下要求得0.5分，未满足任何一项要求的，不得分：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视频流的人脸、人体、机动车、非机动车（二轮车、三轮车）、行为、AI开放平台算法目标抓拍和分析功能【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AI开放平台算法，包括物体检测、图像单标签分类、混合、视频行为异常分析、图像文字识别等类型【需提供国家相关主管部门认可的检验检测机构出具的有效检验检测报告扫描件佐证（报告需盖有检验检测专用章或公章，带有CMA标识）】</w:t>
            </w:r>
          </w:p>
        </w:tc>
      </w:tr>
      <w:tr w14:paraId="1701C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2D8B14D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1-7</w:t>
            </w:r>
          </w:p>
        </w:tc>
        <w:tc>
          <w:tcPr>
            <w:tcW w:w="576" w:type="dxa"/>
            <w:vAlign w:val="center"/>
          </w:tcPr>
          <w:p w14:paraId="16A698FF">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722EE03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D80665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投标人所提供的2、监控智能分析系统的“4. 人脸抓拍比对服务器”完全满足以下要求得0.5分，未满足任何一项要求的，不得分：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设备支持文搜功能，可通过文字语义描述，快速检索目标对象或内容；并可基于文搜快速检索的结果，对目标进行图搜的二次精准检索定位【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将搜索内容添加到历史记录，历史检索词条保持最近10条含以上，通过直接点击该高频热词或历史记录可直接进行重复检索【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独立的文搜应用展示界面，默认支持全通道录像检索，且通道和时间范围可设；支持自定义选择时间范围，可快速选择1天、3天、7天【需提供国家相关主管部门认可的检验检测机构出具的有效检验检测报告扫描件佐证（报告需盖有检验检测专用章或公章，带有CMA标识）】</w:t>
            </w:r>
          </w:p>
        </w:tc>
      </w:tr>
      <w:tr w14:paraId="6B66BD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490511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1-8</w:t>
            </w:r>
          </w:p>
        </w:tc>
        <w:tc>
          <w:tcPr>
            <w:tcW w:w="576" w:type="dxa"/>
            <w:vAlign w:val="center"/>
          </w:tcPr>
          <w:p w14:paraId="5E01B656">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3</w:t>
            </w:r>
          </w:p>
        </w:tc>
        <w:tc>
          <w:tcPr>
            <w:tcW w:w="456" w:type="dxa"/>
            <w:vAlign w:val="center"/>
          </w:tcPr>
          <w:p w14:paraId="391A838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F4984C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投标人所提供的9、计算机网络系统的“1.外网核心交换机、7.内网核心交换机、22.数据中心核心交换机”完全满足以下要求得3分，未满足任何一项要求的，不得分：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支持</w:t>
            </w:r>
            <w:r>
              <w:rPr>
                <w:rFonts w:hint="eastAsia" w:ascii="仿宋" w:hAnsi="仿宋" w:eastAsia="仿宋" w:cs="仿宋"/>
                <w:color w:val="000000"/>
                <w:kern w:val="0"/>
                <w:sz w:val="24"/>
                <w:highlight w:val="none"/>
                <w:u w:val="none"/>
                <w:lang w:val="en-US" w:eastAsia="zh-CN"/>
              </w:rPr>
              <w:t>不少于</w:t>
            </w:r>
            <w:r>
              <w:rPr>
                <w:rFonts w:hint="eastAsia" w:ascii="仿宋" w:hAnsi="仿宋" w:eastAsia="仿宋" w:cs="仿宋"/>
                <w:color w:val="000000"/>
                <w:kern w:val="0"/>
                <w:sz w:val="24"/>
                <w:highlight w:val="none"/>
                <w:u w:val="none"/>
              </w:rPr>
              <w:t>四框堆叠虚拟化，支持创建</w:t>
            </w:r>
            <w:r>
              <w:rPr>
                <w:rFonts w:hint="eastAsia" w:ascii="仿宋" w:hAnsi="仿宋" w:eastAsia="仿宋" w:cs="仿宋"/>
                <w:color w:val="000000"/>
                <w:kern w:val="0"/>
                <w:sz w:val="24"/>
                <w:highlight w:val="none"/>
                <w:u w:val="none"/>
                <w:lang w:val="en-US" w:eastAsia="zh-CN"/>
              </w:rPr>
              <w:t>不少于</w:t>
            </w:r>
            <w:r>
              <w:rPr>
                <w:rFonts w:hint="eastAsia" w:ascii="仿宋" w:hAnsi="仿宋" w:eastAsia="仿宋" w:cs="仿宋"/>
                <w:color w:val="000000"/>
                <w:kern w:val="0"/>
                <w:sz w:val="24"/>
                <w:highlight w:val="none"/>
                <w:u w:val="none"/>
              </w:rPr>
              <w:t>16个虚拟交换机</w:t>
            </w:r>
            <w:r>
              <w:rPr>
                <w:rFonts w:hint="eastAsia" w:ascii="仿宋" w:hAnsi="仿宋" w:eastAsia="仿宋" w:cs="仿宋"/>
                <w:i w:val="0"/>
                <w:iCs w:val="0"/>
                <w:color w:val="000000"/>
                <w:kern w:val="0"/>
                <w:sz w:val="24"/>
                <w:szCs w:val="24"/>
                <w:highlight w:val="none"/>
                <w:u w:val="none"/>
                <w:lang w:val="en-US" w:eastAsia="zh-CN"/>
              </w:rPr>
              <w:t>；支持设备重启百秒通流，从设备上电到流量转发不超过百秒【需提供国家相关主管部门认可的检验检测机构出具的有效检验检测报告扫描件佐证（报告需盖有检验检测专用章或公章，带有CMA标识）】；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2）支持全端口MACsec 256bit加密【需提供国家相关主管部门认可的检验检测机构出具的有效检验检测报告扫描件佐证（报告需盖有检验检测专用章或公章，带有CMA标识）】；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3）支持内置扫描器【需提供国家相关主管部门认可的检验检测机构出具的有效检验检测报告扫描件佐证（报告需盖有检验检测专用章或公章，带有CMA标识）】；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4）支持独立的智能板卡，支持部署园区 SDN 方案【需提供国家相关主管部门认可的检验检测机构出具的有效检验检测报告扫描件佐证（报告需盖有检验检测专用章或公章，带有CMA标识）】；</w:t>
            </w:r>
          </w:p>
        </w:tc>
      </w:tr>
      <w:tr w14:paraId="1A20E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3DEE6E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1-9</w:t>
            </w:r>
          </w:p>
        </w:tc>
        <w:tc>
          <w:tcPr>
            <w:tcW w:w="576" w:type="dxa"/>
            <w:vAlign w:val="center"/>
          </w:tcPr>
          <w:p w14:paraId="6BF04907">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2</w:t>
            </w:r>
          </w:p>
        </w:tc>
        <w:tc>
          <w:tcPr>
            <w:tcW w:w="456" w:type="dxa"/>
            <w:vAlign w:val="center"/>
          </w:tcPr>
          <w:p w14:paraId="42D8662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CBCDCF1">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投标人所提供的9、计算机网络系统的“15.设备网核心交换机”完全满足以下要求得2分，未满足任何一项要求的，不得分：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1）支持不少于4台设备虚拟化，支持创建不少于9个虚拟交换机【需提供国家相关主管部门认可的检验检测机构出具的有效检验检测报告扫描件佐证（报告需盖有检验检测专用章或公章，带有CMA标识）】；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2）支持全端口MACsec加密【需提供国家相关主管部门认可的检验检测机构出具的有效检验检测报告扫描件佐证（报告需盖有检验检测专用章或公章，带有CMA标识）】；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3）内置管理功能，</w:t>
            </w:r>
            <w:r>
              <w:rPr>
                <w:rFonts w:hint="eastAsia" w:ascii="仿宋" w:hAnsi="仿宋" w:eastAsia="仿宋" w:cs="仿宋"/>
                <w:color w:val="000000"/>
                <w:kern w:val="0"/>
                <w:sz w:val="24"/>
                <w:highlight w:val="none"/>
                <w:u w:val="none"/>
              </w:rPr>
              <w:t>实现纵向虚拟化，对于下联设备具备统一管理</w:t>
            </w:r>
            <w:r>
              <w:rPr>
                <w:rFonts w:hint="eastAsia" w:ascii="仿宋" w:hAnsi="仿宋" w:eastAsia="仿宋" w:cs="仿宋"/>
                <w:color w:val="000000"/>
                <w:kern w:val="0"/>
                <w:sz w:val="24"/>
                <w:highlight w:val="none"/>
                <w:u w:val="none"/>
                <w:lang w:val="en-US" w:eastAsia="zh-CN"/>
              </w:rPr>
              <w:t>的</w:t>
            </w:r>
            <w:r>
              <w:rPr>
                <w:rFonts w:hint="eastAsia" w:ascii="仿宋" w:hAnsi="仿宋" w:eastAsia="仿宋" w:cs="仿宋"/>
                <w:color w:val="000000"/>
                <w:kern w:val="0"/>
                <w:sz w:val="24"/>
                <w:highlight w:val="none"/>
                <w:u w:val="none"/>
              </w:rPr>
              <w:t>功能</w:t>
            </w:r>
            <w:r>
              <w:rPr>
                <w:rFonts w:hint="eastAsia" w:ascii="仿宋" w:hAnsi="仿宋" w:eastAsia="仿宋" w:cs="仿宋"/>
                <w:color w:val="000000"/>
                <w:kern w:val="0"/>
                <w:sz w:val="24"/>
                <w:highlight w:val="none"/>
                <w:u w:val="none"/>
                <w:lang w:eastAsia="zh-CN"/>
              </w:rPr>
              <w:t>；</w:t>
            </w:r>
            <w:r>
              <w:rPr>
                <w:rFonts w:hint="eastAsia" w:ascii="仿宋" w:hAnsi="仿宋" w:eastAsia="仿宋" w:cs="仿宋"/>
                <w:color w:val="000000"/>
                <w:kern w:val="0"/>
                <w:sz w:val="24"/>
                <w:highlight w:val="none"/>
                <w:u w:val="none"/>
              </w:rPr>
              <w:t>能够通过图形化界面创建配置组，并对组内设备进行配置文件一键下发</w:t>
            </w:r>
            <w:r>
              <w:rPr>
                <w:rFonts w:hint="eastAsia" w:ascii="仿宋" w:hAnsi="仿宋" w:eastAsia="仿宋" w:cs="仿宋"/>
                <w:color w:val="000000"/>
                <w:kern w:val="0"/>
                <w:sz w:val="24"/>
                <w:highlight w:val="none"/>
                <w:u w:val="none"/>
                <w:lang w:eastAsia="zh-CN"/>
              </w:rPr>
              <w:t>；</w:t>
            </w:r>
            <w:r>
              <w:rPr>
                <w:rFonts w:hint="eastAsia" w:ascii="仿宋" w:hAnsi="仿宋" w:eastAsia="仿宋" w:cs="仿宋"/>
                <w:color w:val="000000"/>
                <w:kern w:val="0"/>
                <w:sz w:val="24"/>
                <w:highlight w:val="none"/>
                <w:u w:val="none"/>
              </w:rPr>
              <w:t>可根据实际业务需求，通过图形化界面对拓扑内的设备或设备组批量进行版本升级</w:t>
            </w:r>
            <w:r>
              <w:rPr>
                <w:rFonts w:hint="eastAsia" w:ascii="仿宋" w:hAnsi="仿宋" w:eastAsia="仿宋" w:cs="仿宋"/>
                <w:i w:val="0"/>
                <w:iCs w:val="0"/>
                <w:color w:val="000000"/>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4）支持TAP能力，可支持TAP 同源同宿功能，报文截断功能，源端口标识功能，支持 TAP 基于端口的 M:N 模型功能，M:N 模型下最大 M 口规格</w:t>
            </w:r>
            <w:r>
              <w:rPr>
                <w:rFonts w:hint="eastAsia" w:ascii="仿宋" w:hAnsi="仿宋" w:eastAsia="仿宋" w:cs="仿宋"/>
                <w:i w:val="0"/>
                <w:iCs w:val="0"/>
                <w:color w:val="000000"/>
                <w:kern w:val="0"/>
                <w:sz w:val="22"/>
                <w:szCs w:val="22"/>
                <w:highlight w:val="none"/>
                <w:u w:val="none"/>
                <w:lang w:val="en-US" w:eastAsia="zh-CN"/>
              </w:rPr>
              <w:t>不少于300个</w:t>
            </w:r>
            <w:r>
              <w:rPr>
                <w:rFonts w:hint="eastAsia" w:ascii="仿宋" w:hAnsi="仿宋" w:eastAsia="仿宋" w:cs="仿宋"/>
                <w:i w:val="0"/>
                <w:iCs w:val="0"/>
                <w:color w:val="000000"/>
                <w:kern w:val="0"/>
                <w:sz w:val="24"/>
                <w:szCs w:val="24"/>
                <w:highlight w:val="none"/>
                <w:u w:val="none"/>
                <w:lang w:val="en-US" w:eastAsia="zh-CN"/>
              </w:rPr>
              <w:t>, N口规格</w:t>
            </w:r>
            <w:r>
              <w:rPr>
                <w:rFonts w:hint="eastAsia" w:ascii="仿宋" w:hAnsi="仿宋" w:eastAsia="仿宋" w:cs="仿宋"/>
                <w:i w:val="0"/>
                <w:iCs w:val="0"/>
                <w:color w:val="000000"/>
                <w:kern w:val="0"/>
                <w:sz w:val="22"/>
                <w:szCs w:val="22"/>
                <w:highlight w:val="none"/>
                <w:u w:val="none"/>
                <w:lang w:val="en-US" w:eastAsia="zh-CN"/>
              </w:rPr>
              <w:t>不少于300个</w:t>
            </w:r>
            <w:r>
              <w:rPr>
                <w:rFonts w:hint="eastAsia" w:ascii="仿宋" w:hAnsi="仿宋" w:eastAsia="仿宋" w:cs="仿宋"/>
                <w:i w:val="0"/>
                <w:iCs w:val="0"/>
                <w:color w:val="000000"/>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p>
        </w:tc>
      </w:tr>
      <w:tr w14:paraId="447213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696" w:type="dxa"/>
            <w:vAlign w:val="center"/>
          </w:tcPr>
          <w:p w14:paraId="3B569DBC">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0</w:t>
            </w:r>
          </w:p>
        </w:tc>
        <w:tc>
          <w:tcPr>
            <w:tcW w:w="576" w:type="dxa"/>
            <w:vAlign w:val="center"/>
          </w:tcPr>
          <w:p w14:paraId="2297147A">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1.5</w:t>
            </w:r>
          </w:p>
        </w:tc>
        <w:tc>
          <w:tcPr>
            <w:tcW w:w="456" w:type="dxa"/>
            <w:vAlign w:val="center"/>
          </w:tcPr>
          <w:p w14:paraId="080C8B1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04FB6DD">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投标人所提供的9、计算机网络系统的“23.高性能集群存储交换机”完全满足以下要求得1.5分，未满足任何一项要求的，不得分：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支持Vxlan二层、三层网关</w:t>
            </w:r>
            <w:r>
              <w:rPr>
                <w:rFonts w:hint="eastAsia" w:ascii="仿宋" w:hAnsi="仿宋" w:eastAsia="仿宋" w:cs="仿宋"/>
                <w:color w:val="000000"/>
                <w:kern w:val="0"/>
                <w:sz w:val="24"/>
                <w:highlight w:val="none"/>
                <w:u w:val="none"/>
                <w:lang w:eastAsia="zh-CN"/>
              </w:rPr>
              <w:t>，</w:t>
            </w:r>
            <w:r>
              <w:rPr>
                <w:rFonts w:hint="eastAsia" w:ascii="仿宋" w:hAnsi="仿宋" w:eastAsia="仿宋" w:cs="仿宋"/>
                <w:color w:val="000000"/>
                <w:kern w:val="0"/>
                <w:sz w:val="24"/>
                <w:highlight w:val="none"/>
                <w:u w:val="none"/>
                <w:lang w:val="en-US" w:eastAsia="zh-CN"/>
              </w:rPr>
              <w:t>支持</w:t>
            </w:r>
            <w:r>
              <w:rPr>
                <w:rFonts w:hint="eastAsia" w:ascii="仿宋" w:hAnsi="仿宋" w:eastAsia="仿宋" w:cs="仿宋"/>
                <w:color w:val="000000"/>
                <w:kern w:val="0"/>
                <w:sz w:val="24"/>
                <w:highlight w:val="none"/>
                <w:u w:val="none"/>
              </w:rPr>
              <w:t>BGP EVPN</w:t>
            </w:r>
            <w:r>
              <w:rPr>
                <w:rFonts w:hint="eastAsia" w:ascii="仿宋" w:hAnsi="仿宋" w:eastAsia="仿宋" w:cs="仿宋"/>
                <w:color w:val="000000"/>
                <w:kern w:val="0"/>
                <w:sz w:val="24"/>
                <w:highlight w:val="none"/>
                <w:u w:val="none"/>
                <w:lang w:eastAsia="zh-CN"/>
              </w:rPr>
              <w:t>，</w:t>
            </w:r>
            <w:r>
              <w:rPr>
                <w:rFonts w:hint="eastAsia" w:ascii="仿宋" w:hAnsi="仿宋" w:eastAsia="仿宋" w:cs="仿宋"/>
                <w:color w:val="000000"/>
                <w:kern w:val="0"/>
                <w:sz w:val="24"/>
                <w:highlight w:val="none"/>
                <w:u w:val="none"/>
              </w:rPr>
              <w:t>支持Ro</w:t>
            </w:r>
            <w:r>
              <w:rPr>
                <w:rFonts w:hint="eastAsia" w:ascii="仿宋" w:hAnsi="仿宋" w:eastAsia="仿宋" w:cs="仿宋"/>
                <w:color w:val="000000"/>
                <w:kern w:val="0"/>
                <w:sz w:val="24"/>
                <w:highlight w:val="none"/>
                <w:u w:val="none"/>
                <w:lang w:val="en-US" w:eastAsia="zh-CN"/>
              </w:rPr>
              <w:t>cev1、</w:t>
            </w:r>
            <w:r>
              <w:rPr>
                <w:rFonts w:hint="eastAsia" w:ascii="仿宋" w:hAnsi="仿宋" w:eastAsia="仿宋" w:cs="仿宋"/>
                <w:color w:val="000000"/>
                <w:kern w:val="0"/>
                <w:sz w:val="24"/>
                <w:highlight w:val="none"/>
                <w:u w:val="none"/>
              </w:rPr>
              <w:t>Ro</w:t>
            </w:r>
            <w:r>
              <w:rPr>
                <w:rFonts w:hint="eastAsia" w:ascii="仿宋" w:hAnsi="仿宋" w:eastAsia="仿宋" w:cs="仿宋"/>
                <w:color w:val="000000"/>
                <w:kern w:val="0"/>
                <w:sz w:val="24"/>
                <w:highlight w:val="none"/>
                <w:u w:val="none"/>
                <w:lang w:val="en-US" w:eastAsia="zh-CN"/>
              </w:rPr>
              <w:t>cev2</w:t>
            </w:r>
            <w:r>
              <w:rPr>
                <w:rFonts w:hint="eastAsia" w:ascii="仿宋" w:hAnsi="仿宋" w:eastAsia="仿宋" w:cs="仿宋"/>
                <w:color w:val="000000"/>
                <w:kern w:val="0"/>
                <w:sz w:val="24"/>
                <w:highlight w:val="none"/>
                <w:u w:val="none"/>
              </w:rPr>
              <w:t>无损</w:t>
            </w:r>
            <w:r>
              <w:rPr>
                <w:rFonts w:hint="eastAsia" w:ascii="仿宋" w:hAnsi="仿宋" w:eastAsia="仿宋" w:cs="仿宋"/>
                <w:color w:val="000000"/>
                <w:kern w:val="0"/>
                <w:sz w:val="24"/>
                <w:highlight w:val="none"/>
                <w:u w:val="none"/>
                <w:lang w:val="en-US" w:eastAsia="zh-CN"/>
              </w:rPr>
              <w:t>以太</w:t>
            </w:r>
            <w:r>
              <w:rPr>
                <w:rFonts w:hint="eastAsia" w:ascii="仿宋" w:hAnsi="仿宋" w:eastAsia="仿宋" w:cs="仿宋"/>
                <w:color w:val="000000"/>
                <w:kern w:val="0"/>
                <w:sz w:val="24"/>
                <w:highlight w:val="none"/>
                <w:u w:val="none"/>
              </w:rPr>
              <w:t>网</w:t>
            </w:r>
            <w:r>
              <w:rPr>
                <w:rFonts w:hint="eastAsia" w:ascii="仿宋" w:hAnsi="仿宋" w:eastAsia="仿宋" w:cs="仿宋"/>
                <w:color w:val="000000"/>
                <w:kern w:val="0"/>
                <w:sz w:val="24"/>
                <w:highlight w:val="none"/>
                <w:u w:val="none"/>
                <w:lang w:val="en-US" w:eastAsia="zh-CN"/>
              </w:rPr>
              <w:t>功能</w:t>
            </w:r>
            <w:r>
              <w:rPr>
                <w:rFonts w:hint="eastAsia" w:ascii="仿宋" w:hAnsi="仿宋" w:eastAsia="仿宋" w:cs="仿宋"/>
                <w:color w:val="000000"/>
                <w:kern w:val="0"/>
                <w:sz w:val="24"/>
                <w:highlight w:val="none"/>
                <w:u w:val="none"/>
              </w:rPr>
              <w:t>，支持PFC、ECN、ETS【提供官网截图和链接证明】；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w:t>
            </w:r>
            <w:r>
              <w:rPr>
                <w:rFonts w:hint="eastAsia" w:ascii="仿宋" w:hAnsi="仿宋" w:eastAsia="仿宋" w:cs="仿宋"/>
                <w:color w:val="000000"/>
                <w:kern w:val="0"/>
                <w:sz w:val="24"/>
                <w:highlight w:val="none"/>
                <w:u w:val="none"/>
              </w:rPr>
              <w:t>避免机柜功耗过大，节能减排，整机最大功耗≤290W，提供官网截图和链接证明；；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3）支持堆叠带宽≥800G【需提供国家相关主管部门认可的检验检测机构出具的有效检验检测报告扫描件佐证（报告需盖有检验检测专用章或公章，带有CMA标识）】； </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4)支持M-LAG/DRNI 跨设备链路聚合功能，M-LAG 支持 VxLAN，支持三层组播M-LAG【需提供国家相关主管部门认可的检验检测机构出具的有效检验检测报告扫描件佐证（报告需盖有检验检测专用章或公章，带有CMA标识）】；</w:t>
            </w:r>
          </w:p>
        </w:tc>
      </w:tr>
      <w:tr w14:paraId="66A87C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D1EBAC1">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1</w:t>
            </w:r>
          </w:p>
        </w:tc>
        <w:tc>
          <w:tcPr>
            <w:tcW w:w="576" w:type="dxa"/>
            <w:vAlign w:val="center"/>
          </w:tcPr>
          <w:p w14:paraId="507AD62D">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22D14C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0B617719">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投标人所提供的10、无线覆盖系统的“7./23 .24口高功率POE交换机”完全满足以下要求得1分，未满足任何一项要求的，不得分：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1）所投产品具备静音设计，在480W负载以内，设备的噪音最大声压级≤40dB【需提供国家相关主管部门认可的检验检测机构出具的有效检验检测报告扫描件佐证（报告需盖有检验检测专用章或公章，带有CMA标识）】</w:t>
            </w:r>
          </w:p>
        </w:tc>
      </w:tr>
      <w:tr w14:paraId="24427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0EC10DB2">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2</w:t>
            </w:r>
          </w:p>
        </w:tc>
        <w:tc>
          <w:tcPr>
            <w:tcW w:w="576" w:type="dxa"/>
            <w:vAlign w:val="center"/>
          </w:tcPr>
          <w:p w14:paraId="416B563D">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7927C7A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095C51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投标人所提供的10、无线覆盖系统的“9.高密无线AP、25.高密无线AP”完全满足以下要求得1分，未满足任何一项要求的，不得分：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所投无线接入点符合《电器设备外壳对外界机械碰撞的防护等级（IK代码）》标准，至少达到防护等级IK09；【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2）支持VIP应用优先级保障、支持VIP用户的优先接入【需提供国家相关主管部门认可的检验检测机构出具的有效检验检测报告扫描件佐证（报告需盖有检验检测专用章或公章，带有CMA标识）】</w:t>
            </w:r>
          </w:p>
        </w:tc>
      </w:tr>
      <w:tr w14:paraId="027235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shd w:val="clear" w:color="auto" w:fill="auto"/>
            <w:vAlign w:val="center"/>
          </w:tcPr>
          <w:p w14:paraId="5E531961">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3</w:t>
            </w:r>
          </w:p>
        </w:tc>
        <w:tc>
          <w:tcPr>
            <w:tcW w:w="576" w:type="dxa"/>
            <w:shd w:val="clear" w:color="auto" w:fill="auto"/>
            <w:vAlign w:val="center"/>
          </w:tcPr>
          <w:p w14:paraId="5B67EC61">
            <w:pPr>
              <w:keepNext w:val="0"/>
              <w:keepLines w:val="0"/>
              <w:widowControl/>
              <w:suppressLineNumbers w:val="0"/>
              <w:jc w:val="center"/>
              <w:textAlignment w:val="center"/>
              <w:rPr>
                <w:rFonts w:hint="eastAsia" w:ascii="仿宋" w:hAnsi="仿宋" w:eastAsia="仿宋" w:cs="仿宋"/>
                <w:kern w:val="2"/>
                <w:sz w:val="24"/>
                <w:szCs w:val="24"/>
                <w:highlight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shd w:val="clear" w:color="auto" w:fill="auto"/>
            <w:vAlign w:val="center"/>
          </w:tcPr>
          <w:p w14:paraId="5A189651">
            <w:pPr>
              <w:pStyle w:val="7"/>
              <w:jc w:val="center"/>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是</w:t>
            </w:r>
          </w:p>
        </w:tc>
        <w:tc>
          <w:tcPr>
            <w:tcW w:w="6794" w:type="dxa"/>
            <w:shd w:val="clear" w:color="auto" w:fill="FFFFFF"/>
            <w:vAlign w:val="center"/>
          </w:tcPr>
          <w:p w14:paraId="6378C0E6">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投标人所提供的10、无线覆盖系统的“10.</w:t>
            </w:r>
            <w:r>
              <w:rPr>
                <w:rFonts w:hint="eastAsia" w:ascii="仿宋" w:hAnsi="仿宋" w:eastAsia="仿宋" w:cs="仿宋"/>
                <w:color w:val="000000"/>
                <w:kern w:val="0"/>
                <w:sz w:val="24"/>
                <w:highlight w:val="none"/>
                <w:u w:val="none"/>
              </w:rPr>
              <w:t>普通放装AP</w:t>
            </w:r>
            <w:r>
              <w:rPr>
                <w:rFonts w:hint="eastAsia" w:ascii="仿宋" w:hAnsi="仿宋" w:eastAsia="仿宋" w:cs="仿宋"/>
                <w:i w:val="0"/>
                <w:iCs w:val="0"/>
                <w:color w:val="000000"/>
                <w:kern w:val="0"/>
                <w:sz w:val="24"/>
                <w:szCs w:val="24"/>
                <w:highlight w:val="none"/>
                <w:u w:val="none"/>
                <w:lang w:val="en-US" w:eastAsia="zh-CN"/>
              </w:rPr>
              <w:t>”完全满足以下要求得1分，未满足任何一项要求的，不得分：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AP内置智能分布式探针，本地转发下 AP 无需部署额外特征库且不受 AP 本地存储限制，实现应用识别</w:t>
            </w:r>
            <w:r>
              <w:rPr>
                <w:rFonts w:hint="eastAsia" w:ascii="仿宋" w:hAnsi="仿宋" w:eastAsia="仿宋" w:cs="仿宋"/>
                <w:i w:val="0"/>
                <w:iCs w:val="0"/>
                <w:color w:val="000000"/>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p>
        </w:tc>
      </w:tr>
      <w:tr w14:paraId="78B0B3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FFEA1EA">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4</w:t>
            </w:r>
          </w:p>
        </w:tc>
        <w:tc>
          <w:tcPr>
            <w:tcW w:w="576" w:type="dxa"/>
            <w:vAlign w:val="center"/>
          </w:tcPr>
          <w:p w14:paraId="75D93ADF">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2</w:t>
            </w:r>
          </w:p>
        </w:tc>
        <w:tc>
          <w:tcPr>
            <w:tcW w:w="456" w:type="dxa"/>
            <w:vAlign w:val="center"/>
          </w:tcPr>
          <w:p w14:paraId="2727FBA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4058AE3">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投标人所提供的10、无线覆盖系统的“12.基站AP”完全满足以下要求得2分，未满足任何一项要求的，不得分：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1)支持天馈链路检测【需提供国家相关主管部门认可的检验检测机构出具的有效检验检测报告扫描件佐证（报告需盖有检验检测专用章或公章，带有CMA标识）】；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2)内、外网物理隔离：实现物理隔离【需提供国家相关主管部门认可的检验检测机构出具的有效检验检测报告扫描件佐证（报告需盖有检验检测专用章或公章，带有CMA标识）】；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3)支持隐蔽部署，通过馈线外接美化天线实现病区的入室信号覆盖【需提供国家相关主管部门认可的检验检测机构出具的有效检验检测报告扫描件佐证（报告需盖有检验检测专用章或公章，带有CMA标识）】。</w:t>
            </w:r>
          </w:p>
        </w:tc>
      </w:tr>
      <w:tr w14:paraId="315880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55B1860B">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5</w:t>
            </w:r>
          </w:p>
        </w:tc>
        <w:tc>
          <w:tcPr>
            <w:tcW w:w="576" w:type="dxa"/>
            <w:vAlign w:val="center"/>
          </w:tcPr>
          <w:p w14:paraId="646D52D0">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09A4A4B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03199B06">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投标人所提供的10、无线覆盖系统的“19.外网无线控制器”完全满足以下要求得1分，未满足任何一项要求的，不得分：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1）支持有线口抓包功能，实现AC设备根据规则抓取端口的报文【需提供国家相关主管部门认可的检验检测机构出具的有效检验检测报告扫描件佐证（报告需盖有检验检测专用章或公章，带有CMA标识）】；</w:t>
            </w:r>
          </w:p>
        </w:tc>
      </w:tr>
      <w:tr w14:paraId="1ECDB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B0907B7">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6</w:t>
            </w:r>
          </w:p>
        </w:tc>
        <w:tc>
          <w:tcPr>
            <w:tcW w:w="576" w:type="dxa"/>
            <w:vAlign w:val="center"/>
          </w:tcPr>
          <w:p w14:paraId="576B396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63AF859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0851EECD">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投标人所提供的11、医疗物联网系统的“1.物联网基站”完全满足以下要求得0.5分，未满足任何一项要求的，不得分：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1）工作温度：-20℃~60℃【需提供国家相关主管部门认可的检验检测机构出具的有效检验检测报告扫描件佐证（报告需盖有检验检测专用章或公章，带有CMA标识）】；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2）丢包率：以太网网络下及5G 网络模式下，丢包率&lt;0.1%【需提供国家相关主管部门认可的检验检测机构出具的有效检验检测报告扫描件佐证（报告需盖有检验检测专用章或公章，带有CMA标识）】；</w:t>
            </w:r>
          </w:p>
        </w:tc>
      </w:tr>
      <w:tr w14:paraId="5E2182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731C26D">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7</w:t>
            </w:r>
          </w:p>
        </w:tc>
        <w:tc>
          <w:tcPr>
            <w:tcW w:w="576" w:type="dxa"/>
            <w:vAlign w:val="center"/>
          </w:tcPr>
          <w:p w14:paraId="6A1F9BD0">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1D06B90A">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86B9D73">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投标人所提供的11、医疗物联网系统的“2.物联网网关”完全满足以下要求得1分，未满足任何一项要求的，不得分：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1）工作温度：-20℃~60℃【需提供国家相关主管部门认可的检验检测机构出具的有效检验检测报告扫描件佐证（报告需盖有检验检测专用章或公章，带有CMA标识）】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2）支持以太网及WiFi接入【需提供国家相关主管部门认可的检验检测机构出具的有效检验检测报告扫描件佐证（报告需盖有检验检测专用章或公章，带有CMA标识）】；</w:t>
            </w:r>
          </w:p>
        </w:tc>
      </w:tr>
      <w:tr w14:paraId="2117E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5CDDABB2">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8</w:t>
            </w:r>
          </w:p>
        </w:tc>
        <w:tc>
          <w:tcPr>
            <w:tcW w:w="576" w:type="dxa"/>
            <w:vAlign w:val="center"/>
          </w:tcPr>
          <w:p w14:paraId="1924C72C">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375EAB9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2FA16F6D">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投标人所提供的11、医疗物联网系统的“11.物联网平台”完全满足以下要求得1分，未满足任何一项要求的，不得分：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具有设备管理功能：支持将物联网网关设备、终端设备、直连设备接入物联网平台统一管理，可以查询设备的通信状态、所在位置、电池电量、MAC地址、IP地址、固件版本等信息；支持以拓扑结构图的形式展示各个通信节点的情况，可以查询网关设备历史连接的终端情况，便于运维人员分析某一网关离线后可能影响的终端设备；对于定位类终端设备，可以在地图上查看设备的实时位置和历史轨迹（需提供软件功能截图作为佐证）；</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具有压测分析组件，支持对平台性能进行测试。支持对测试的broker服务器、平台服务器、压测时长、预热时间、逐步加压时间、压测对象进行编辑；测试结果支持以图表形式直观呈现，包括任务积压、引擎定位TPS、平台处理TPS、平台处理延时、平台处理耗时、平台接收延时、设备上报TPS（需提供软件功能截图佐证）；</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3）数据处理能力：平台数据处理能力不小于3000TPS【需提供国家相关主管部门认可的检验检测机构出具的有效检验检测报告扫描件佐证（报告需盖有检验检测专用章或公章，带有CMA标识）】。</w:t>
            </w:r>
          </w:p>
        </w:tc>
      </w:tr>
      <w:tr w14:paraId="4D38AD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F8A9909">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19</w:t>
            </w:r>
          </w:p>
        </w:tc>
        <w:tc>
          <w:tcPr>
            <w:tcW w:w="576" w:type="dxa"/>
            <w:vAlign w:val="center"/>
          </w:tcPr>
          <w:p w14:paraId="3050280C">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355CE15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9735AFB">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投标人所提供的13、多媒体会议系统的“1.  98寸会议一体机”完全满足以下要求得1分，未满足任何一项要求的，不得分：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1）整机正面上居中内置单颗≥5000W像素高清摄像头，清晰度≥2000线，可拍摄不低于4K 30fps高清视频画面，支持手动取景模式，在此模式下支持设置摄像头预设位，支持预设≥9个机位【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用户电脑支持通过无线传屏器或者软件客户端，调用大屏的麦克风/摄像头/扬声器，作为电脑上视频会议软件的外设接入视频会议中；投屏前支持二次确认，通过输入验证码等方式，避免投错屏【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智能识别书写笔，实现书写笔下笔自动进入批注模式，无需手动点击批注模式，更贴合真实使用体验【需提供国家相关主管部门认可的检验检测机构出具的有效检验检测报告扫描件佐证（报告需盖有检验检测专用章或公章，带有CMA标识）】</w:t>
            </w:r>
          </w:p>
        </w:tc>
      </w:tr>
      <w:tr w14:paraId="45B5DF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35BF741E">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20</w:t>
            </w:r>
          </w:p>
        </w:tc>
        <w:tc>
          <w:tcPr>
            <w:tcW w:w="576" w:type="dxa"/>
            <w:vAlign w:val="center"/>
          </w:tcPr>
          <w:p w14:paraId="3E3B852B">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62926F2">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D087992">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投标人所提供的13、多媒体会议系统的“1.   110寸会议一体机”完全满足以下要求得1分，未满足任何一项要求的，不得分：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整机屏幕需采用≥110英寸IPS液晶屏</w:t>
            </w:r>
            <w:r>
              <w:rPr>
                <w:rFonts w:hint="eastAsia" w:ascii="仿宋" w:hAnsi="仿宋" w:eastAsia="仿宋" w:cs="仿宋"/>
                <w:color w:val="000000"/>
                <w:kern w:val="0"/>
                <w:sz w:val="24"/>
                <w:highlight w:val="none"/>
                <w:u w:val="none"/>
                <w:lang w:eastAsia="zh-CN"/>
              </w:rPr>
              <w:t>，</w:t>
            </w:r>
            <w:r>
              <w:rPr>
                <w:rFonts w:hint="eastAsia" w:ascii="仿宋" w:hAnsi="仿宋" w:eastAsia="仿宋" w:cs="仿宋"/>
                <w:i w:val="0"/>
                <w:iCs w:val="0"/>
                <w:color w:val="000000"/>
                <w:kern w:val="0"/>
                <w:sz w:val="24"/>
                <w:szCs w:val="24"/>
                <w:highlight w:val="none"/>
                <w:u w:val="none"/>
                <w:lang w:val="en-US" w:eastAsia="zh-CN"/>
              </w:rPr>
              <w:t>屏幕分辨率≥3840*2160，色彩度≥10bit ,可视角度≥178°，整机屏占比≥92%，整机最薄处≤25mm，屏亮度≥400cd/㎡，对比度≥1200:1，色域≥93%NTSC【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内置功能强大欢迎界面，内置多种模板，并支持手机编辑欢迎界面；内置应用商城，提供多种应用软件供客户选择；支持手机、电脑等多终端通过连接码连接整机，进行传屏、文件传输等操作；支持并快速传输PPT、PDF及图片等文件【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手机、电脑通过客户端对整机展示内容进行截屏，并最终保存到手机、电脑上；会议结束后，支持将文件保存至客户端，或者本地扫码保存带走【需提供国家相关主管部门认可的检验检测机构出具的有效检验检测报告扫描件佐证（报告需盖有检验检测专用章或公章，带有CMA标识）】</w:t>
            </w:r>
          </w:p>
        </w:tc>
      </w:tr>
      <w:tr w14:paraId="0FEDCA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723361F">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1</w:t>
            </w:r>
          </w:p>
        </w:tc>
        <w:tc>
          <w:tcPr>
            <w:tcW w:w="576" w:type="dxa"/>
            <w:vAlign w:val="center"/>
          </w:tcPr>
          <w:p w14:paraId="4CC7E87A">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0F92FA96">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CCAA7AA">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投标人所提供的13、多媒体会议系统的“1.多功能智慧IOT主机（含录播）”完全满足以下要求得1分，未满足任何一项要求的，不得分：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1）设备接口应具备不低于：RS-232串口10路、HDMI 4K输入接口8路、HDMI 4K输出接口4路、HDMI 2K输出接口4路、3.5mm立体声输入接口4路、3.5mm立体声输出接口4路、RJ-45千兆网口8路【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前面板具备一个≥5寸显示屏，可同步显示合并录播画面；支持重点部分进行马赛克及变声处理，防止出现视频资料外泄；需至少具备矩阵、拼接、交换机、中控、4G物联、多画面录播等功能；【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多种开源大模型接入，兼容14B、32B参数量模型，同时支持业务语言与AI能力的无缝对接，实现专业领域深度理解【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设备深度管控和数据采集能力，包括设备控制、设备参数监测、设备参数调试等功能，支持内置视频质量评估引擎，可自动检测模糊、灰暗、遮挡等不少于20种画面质量问题【需提供国家相关主管部门认可的检验检测机构出具的有效检验检测报告扫描件佐证（报告需盖有检验检测专用章或公章，带有CMA标识）】</w:t>
            </w:r>
          </w:p>
        </w:tc>
      </w:tr>
      <w:tr w14:paraId="32E5C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F0D8814">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2</w:t>
            </w:r>
          </w:p>
        </w:tc>
        <w:tc>
          <w:tcPr>
            <w:tcW w:w="576" w:type="dxa"/>
            <w:vAlign w:val="center"/>
          </w:tcPr>
          <w:p w14:paraId="5A364543">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7CABD2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C684022">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投标人所提供的13、多媒体会议系统的“2.分布式输入节点（含软件）”完全满足以下要求得1分，未满足任何一项要求的，不得分：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1）具备≥1路HDMI视频输入接口、≥1路HDMI环出接口、≥1路5针凤凰端子平衡立体声输入接口、≥1路3.5音频接口、≥1个KVM USB接口、≥1个USB 3.0接口、≥1个RJ-45千兆网口、≥1个SFP fiber接口【需提供国家相关主管部门认可的检验检测机构出具的有效检验检测报告扫描件佐证（报告需盖有检验检测专用章或公章，带有CMA标识）】；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KVM座席管理功能，不少于全面控制、仅可观看、及不可访问和控制三种权限【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4K@60Hz、YUV4:4:4\RGB888视频的输入，支持最高120帧实时编解码处理，分辨率和帧率向下兼容【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保证物理隔离，从物理接口上防止不同密集电脑之间因USB设备发生数据泄露，同时避免U盘、USB摄像头、UKey、USB打印机等设备的连接；【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5）支持同屏镜像功能，无需对辅屏进行控制，只需控制主屏，主屏的任意动作都完全同步至副屏显示；【需提供国家相关主管部门认可的检验检测机构出具的有效检验检测报告扫描件佐证（报告需盖有检验检测专用章或公章，带有CMA标识）】</w:t>
            </w:r>
          </w:p>
        </w:tc>
      </w:tr>
      <w:tr w14:paraId="58545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B4315EE">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3</w:t>
            </w:r>
          </w:p>
        </w:tc>
        <w:tc>
          <w:tcPr>
            <w:tcW w:w="576" w:type="dxa"/>
            <w:vAlign w:val="center"/>
          </w:tcPr>
          <w:p w14:paraId="7785F7E6">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14A825F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959FC81">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投标人所提供的13、多媒体会议系统的“3.分布式4K输出节点（含软件）”完全满足以下要求得1分，未满足任何一项要求的，不得分：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1）具备≥1路HDMI视频输出接口、≥1路5针凤凰端子平衡立体声输出接口、≥1个USB 3.0接口、≥2个USB 2.0接口、≥1个RJ-45千兆网口、≥1个SFP fiber接口【需提供国家相关主管部门认可的检验检测机构出具的有效检验检测报告扫描件佐证（报告需盖有检验检测专用章或公章，带有CMA标识）】；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2）信号源解码延时≤0.002ms【需提供国家相关主管部门认可的检验检测机构出具的有效检验检测报告扫描件佐证（报告需盖有检验检测专用章或公章，带有CMA标识）】；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端到端无缝传输延时为≤8ms，信号切换、开窗响应、预案调取的间隔时间为≤8ms【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节点采用双芯片架构，包含编解码芯片和高性能FPGA处理芯片，可以解决编解码芯片无法支持特殊分辨率问题，以及解决420编解码像素丢失的问题；【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5）满足在1 条千兆网线上传输内容各不相同的50路1080P@60视频流（即单路1080P@60 编码后码率≤20Mbps），或者不低于20路4K@30视频流，或者不低于10路4K@60视频流；【需提供国家相关主管部门认可的检验检测机构出具的有效检验检测报告扫描件佐证（报告需盖有检验检测专用章或公章，带有CMA标识）】</w:t>
            </w:r>
          </w:p>
        </w:tc>
      </w:tr>
      <w:tr w14:paraId="3BB566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A4D2A9B">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4</w:t>
            </w:r>
          </w:p>
        </w:tc>
        <w:tc>
          <w:tcPr>
            <w:tcW w:w="576" w:type="dxa"/>
            <w:vAlign w:val="center"/>
          </w:tcPr>
          <w:p w14:paraId="7E671BAD">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98C18EA">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512AA90">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投标人所提供的13、多媒体会议系统的“4.综合交互管理主机”完全满足以下要求得1分，未满足任何一项要求的，不得分：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1）具备≥48路RJ-45千兆网口、≥4路万兆光纤接口，≥1路USB AF2.0接口、≥1路RJ45接口console配置接口、≥1路DC 24V电源适配器接口【需提供国家相关主管部门认可的检验检测机构出具的有效检验检测报告扫描件佐证（报告需盖有检验检测专用章或公章，带有CMA标识）】及产品接口实物图片）；</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基于上下级的级联权限管理，上级平台用户无需下级平台用户配合，即可一键把下级平台的视频源上本地大屏显示【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无须额外配置服务器硬件即可实现分布式管控，交互平台即是服务器【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5寸LCD显示，支持预览分布式信号及网络接口信息占用详情，实现对主机内部运行情况的监测，实时掌握网络运行状态；【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5）内置向量数据库，可实现千万级文档片段的高效检索，检索延迟低于100毫秒；【需提供国家相关主管部门认可的检验检测机构出具的有效检验检测报告扫描件佐证（报告需盖有检验检测专用章或公章，带有CMA标识）】</w:t>
            </w:r>
          </w:p>
        </w:tc>
      </w:tr>
      <w:tr w14:paraId="7330A5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0F90062">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5</w:t>
            </w:r>
          </w:p>
        </w:tc>
        <w:tc>
          <w:tcPr>
            <w:tcW w:w="576" w:type="dxa"/>
            <w:vAlign w:val="center"/>
          </w:tcPr>
          <w:p w14:paraId="5963C4CD">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0255A152">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B9D365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投标人所提供的13、多媒体会议系统的“1.主扩远场线阵列全频扬声器、主扩近场线阵列全频扬声器”完全满足以下要求得0.5分，未满足任何一项要求的，不得分：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1）防潮防尘等级≥IP55（提供官网截图和官网链接）</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针对主扩远场、近场线阵列全频扬声器组须具备与扬声器同品牌的3D声学模拟软件针对本报告厅的软件模拟分析截图及产品官网内软件介绍截图佐证，软件模拟分析截图包括：直达声场分析图(Direct)、混响声场分析图(Direct+Reverb)、传输频率特性图(SPL)、语言清晰度分析图（STI/Speech）。</w:t>
            </w:r>
          </w:p>
        </w:tc>
      </w:tr>
      <w:tr w14:paraId="386D41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0944195">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6</w:t>
            </w:r>
          </w:p>
        </w:tc>
        <w:tc>
          <w:tcPr>
            <w:tcW w:w="576" w:type="dxa"/>
            <w:vAlign w:val="center"/>
          </w:tcPr>
          <w:p w14:paraId="6A6C134B">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1AAFEB1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D2759DB">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投标人所提供的13、多媒体会议系统的“4.无线投屏协作系统”完全满足以下要求得1分，未满足任何一项要求的，不得分：</w:t>
            </w:r>
          </w:p>
          <w:p w14:paraId="0657B83B">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1）网络模式：需支持无线路由器、无线交换和网络终端三种网络模式。需支持远距离稳定流畅的无线投屏。投屏的最大传输距离不小于100m。【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移动端无线投屏应用：支持不少于16路终端设备同时接入终端，支持AirPlay、Miracast、WIDI主流投屏协议，iOS、macOS、Android和Windows系统设备无需安装任何APP即可直接投屏，并可自由拖动画面位置，支持对设备画面进行静音、旋转、全屏、移除等操作。（需提供满足此功能的软件截图进行佐证）</w:t>
            </w:r>
          </w:p>
        </w:tc>
      </w:tr>
      <w:tr w14:paraId="79007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3DA8A56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7</w:t>
            </w:r>
          </w:p>
        </w:tc>
        <w:tc>
          <w:tcPr>
            <w:tcW w:w="576" w:type="dxa"/>
            <w:vAlign w:val="center"/>
          </w:tcPr>
          <w:p w14:paraId="37B2FA81">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1C93E1C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DFD957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投标人所提供的13、多媒体会议系统的“1.4K录播一体机”完全满足以下要求得1分，未满足任何一项要求的，不得分：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1）4K超高清记录：支持≥8路HDMI 4K@30超高分辨率输入及≥5画面合成录制，实现会议超高清记录。支持对输入信号进行自定义名称，方便信号辨别（需提供符合技术要求的实物接口照片及相应的软件设置界面截图进行佐证）；</w:t>
            </w:r>
          </w:p>
        </w:tc>
      </w:tr>
      <w:tr w14:paraId="52D9B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940F2A5">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1-2</w:t>
            </w:r>
            <w:r>
              <w:rPr>
                <w:rFonts w:hint="eastAsia" w:ascii="仿宋" w:hAnsi="仿宋" w:eastAsia="仿宋" w:cs="仿宋"/>
                <w:sz w:val="24"/>
                <w:szCs w:val="24"/>
                <w:highlight w:val="none"/>
                <w:lang w:val="en-US" w:eastAsia="zh-CN"/>
              </w:rPr>
              <w:t>8</w:t>
            </w:r>
          </w:p>
        </w:tc>
        <w:tc>
          <w:tcPr>
            <w:tcW w:w="576" w:type="dxa"/>
            <w:vAlign w:val="center"/>
          </w:tcPr>
          <w:p w14:paraId="66CDE561">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9DDCB0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1E10E1D2">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投标人所提供的14、信息发布引导系统的“23./31.LED高清大屏”完全满足以下要求得1分，未满足任何一项要求的，不得分：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箱体测试功能：箱体后背自带测试按钮，可实现红、绿、蓝、白纯色测试画面，支持横扫、斜扫、灰阶测试画面；箱体带信号指示灯，可以通过指示灯来监控箱体运行状态（需提供箱体背面图片及相关测试图片）；</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2） 散热效能：模组背部采用精密敷铜边框（需提供模组背部敷铜图片）；                                              </w:t>
            </w:r>
          </w:p>
        </w:tc>
      </w:tr>
      <w:tr w14:paraId="2A319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6B694CF">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29</w:t>
            </w:r>
          </w:p>
        </w:tc>
        <w:tc>
          <w:tcPr>
            <w:tcW w:w="576" w:type="dxa"/>
            <w:vAlign w:val="center"/>
          </w:tcPr>
          <w:p w14:paraId="6D4565FC">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50CAB7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093B36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投标人所提供的14、信息发布引导系统的“25./94.配电箱”完全满足以下要求得1分，未满足任何一项要求的，不得分：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应用功能：支持PLC远程同步联机控制，PLC远程异步脱机自动控制；支持各通道逐级延时上电，断电；支持紧急一键断电；支持各通道分别设置独立定时开关电时间、远程单独控制、近端面板独立控制；支持远程实时监测环境温度数据、环境湿度数据、各通道上电状态、PLC通讯状态；预置多个预案，可根据检测到的温度、湿度等环境数据自动执行各类突发状况预案；支持RS232、RS485、以太网通讯；支持上位机软件、移动终端App、第三方平台、中控系统、工业触摸屏图形终端控制【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2）兼容性：支持B/S构架，电脑或平板无需连接外网，浏览器直接访问配电箱IP地址进行控制；完全兼容统信、银河等国产电脑操作系统。【需提供国家相关主管部门认可的检验检测机构出具的有效检验检测报告扫描件佐证（报告需盖有检验检测专用章或公章，带有CMA标识）】 </w:t>
            </w:r>
          </w:p>
        </w:tc>
      </w:tr>
      <w:tr w14:paraId="639FB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65166DE">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30</w:t>
            </w:r>
          </w:p>
        </w:tc>
        <w:tc>
          <w:tcPr>
            <w:tcW w:w="576" w:type="dxa"/>
            <w:vAlign w:val="center"/>
          </w:tcPr>
          <w:p w14:paraId="5546639E">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69FA432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C1BB48F">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投标人所提供14、信息发布引导系统的“71.智慧融合控制台”完全满足以下要求得1分，未满足任何一项要求的，不得分：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sz w:val="24"/>
                <w:szCs w:val="24"/>
                <w:highlight w:val="none"/>
                <w:lang w:val="en-US" w:eastAsia="zh-CN"/>
              </w:rPr>
              <w:t>1</w:t>
            </w:r>
            <w:r>
              <w:rPr>
                <w:rFonts w:hint="eastAsia" w:ascii="仿宋" w:hAnsi="仿宋" w:eastAsia="仿宋" w:cs="仿宋"/>
                <w:i w:val="0"/>
                <w:iCs w:val="0"/>
                <w:color w:val="000000"/>
                <w:kern w:val="0"/>
                <w:sz w:val="24"/>
                <w:szCs w:val="24"/>
                <w:highlight w:val="none"/>
                <w:u w:val="none"/>
                <w:lang w:val="en-US" w:eastAsia="zh-CN"/>
              </w:rPr>
              <w:t>)输入电压监测：电压、电流、功率总阀值设置≥8个智能插座电压、电流、功率的独立阀值设置; ≥8个智能插座端口阀值联动管理：电压、电流、功率阀值触发联动空调、智能断路器、智能照明控制系统的启停功能; 可查询接入设备运行日志功能、实时查询设备的用电情况：可以选择年月日时的电压、电流、功率及电能使用情况。【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2)端口固定集成要求：最新国标 220V 10A 防脱落智能电源输出≥9个(输出插座口≥8 路，旁路输出插座 ≥1 路)；千兆 RJ45 网络接口≥8 个、 RJ45 类型的 485 接口≥1 个、RJ45 管理口≥1 个、SFP插槽≥1个、TYPE-C接口≥1个、物联网I/O≥2个等须全部集成固定在此设备上，设备为标准19 英寸1U机架式安装。（提供设备整机实物图片佐证）。</w:t>
            </w:r>
          </w:p>
        </w:tc>
      </w:tr>
      <w:tr w14:paraId="2989CA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59ED175">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1</w:t>
            </w:r>
          </w:p>
        </w:tc>
        <w:tc>
          <w:tcPr>
            <w:tcW w:w="576" w:type="dxa"/>
            <w:vAlign w:val="center"/>
          </w:tcPr>
          <w:p w14:paraId="6A7959E6">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1E756C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5B43250">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投标人所提供的14、信息发布引导系统的“109.2进2出播控器”完全满足以下要求得1分，未满足任何一项要求的，不得分：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1）支持多视频窗口同步解码播放，支持mp4、mov、3gp、mkv、avi、wmv、mpg、mpeg视频格式硬件解码，支持4K视频，支持≥4个全高清视频窗口同步流畅播放不卡顿。视频解码支持4KVP9and4K10bitsH265/H264视频解码。支持多图片窗口播放，图片格式支持jpg、bmp、gif、jpeg、png。支持视频图片混播，支持图片播放时长设定。【需提供国家相关主管部门认可的检验检测机构出具的有效检验检测报告扫描件佐证（报告需盖有检验检测专用章或公章，带有CMA标识）】；                              </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开关屏设置两种模式可选：待机模式、开关电源模式。专用大屏状态指示灯，红色状态表示大屏关闭电源状态，绿色表示大屏电源开启状态。【需提供国家相关主管部门认可的检验检测机构出具的有效检验检测报告扫描件佐证（报告需盖有检验检测专用章或公章，带有CMA标识）】</w:t>
            </w:r>
          </w:p>
        </w:tc>
      </w:tr>
      <w:tr w14:paraId="6129F0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B5DE929">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2</w:t>
            </w:r>
          </w:p>
        </w:tc>
        <w:tc>
          <w:tcPr>
            <w:tcW w:w="576" w:type="dxa"/>
            <w:vAlign w:val="center"/>
          </w:tcPr>
          <w:p w14:paraId="5E2F25FF">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B42728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9C3C009">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rPr>
              <w:t>投标人所提供的14、信息发布引导系统的“111.内容安全智能视频过滤器”完全满足以下要求得1分，未满足任何一项要求的，不得分：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1）防护设备支持4K@60Hz范围内标准与非标准分辨率的视频、图片的输入检测，包括但不限于 3840x2160、1920x1080、1600x900、1024x768 等，支持输入视频接口的信号状态、分辨率等检测和显示。设备视频输出接口的分辨率应自动与视频输入接口的分辨率保持一致。【需提供国家相关主管部门认可的检验检测机构出具的有效检验检测报告扫描件佐证（报告需盖有检验检测专用章或公章，带有CMA标识）】   </w:t>
            </w:r>
          </w:p>
          <w:p w14:paraId="793A4028">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 xml:space="preserve">2）防护设备应具备识别色情视频或图像的能力，包括不同肤色人种、不同风格卡通动画视频或图像中出现的色情场景。不良视频图片的检出率应≥99.8%，正常视频图像的判断准确率应≥99.9%（即误判率≤0.1%）。【需提供国家相关主管部门认可的检验检测机构出具的有效检验检测报告扫描件佐证（报告需盖有检验检测专用章或公章，带有CMA标识）】                                                            </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3）防护设备应具备延迟播放能力，避免违规信息播放出去。当出现违规视频、图像、文本信息时，防护反应时间应小于延迟播放时间，延迟时间范围为 0~10 秒（时间可调）。防护设备应具备音量调节功能，要求设备具备音量调节按钮，同时也应支持在设备自带的 Web 配置界面进行音量调节操作。 【需提供国家相关主管部门认可的检验检测机构出具的有效检验检测报告扫描件佐证（报告需盖有检验检测专用章或公章，带有CMA标识）】                                                                                   </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4）防护设备应具备三级防护功能，从一级到三级，防护力度趋严。当视频流一直为正常健康视频流时，设备处于一级防护等级，按照一级防护等级的参数进行防护；当设备监测到一段时间内出现一定数量的不良视频画面时，将会把防护等级升级为较为严厉的二级防护等级；如果持续监测到更多的不良视频画面，防护等级会最终升级到最严厉的三级防护等级。当视频流恢复正常的健康视频流时，防护等级会由三级逐渐恢复为一级。【需提供国家相关主管部门认可的检验检测机构出具的有效检验检测报告扫描件佐证（报告需盖有检验检测专用章或公章，带有CMA标识）】                                          </w:t>
            </w:r>
          </w:p>
        </w:tc>
      </w:tr>
      <w:tr w14:paraId="15116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0814CEBF">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3</w:t>
            </w:r>
          </w:p>
        </w:tc>
        <w:tc>
          <w:tcPr>
            <w:tcW w:w="576" w:type="dxa"/>
            <w:vAlign w:val="center"/>
          </w:tcPr>
          <w:p w14:paraId="4B37B19E">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7FF41F03">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2D0AC2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投标人所提供的14、信息发布引导系统的“112.内容安全运维服务器”完全满足以下要求得0.5分，未满足任何一项要求的，不得分：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1）管理平台应支持多节点终端接入，支持多类别多型号的电子屏防护终端的接入，至少包括 LED 全彩屏、LED 文字屏、智能一体屏等，对接入的终端所检测到的不良内容信息进行集中汇总管理与处置。平台首页应支持查看接入设备总数、在线/离线设备数、告警信息、告警统计、告警类型、趋势统计等内容。（需提供截图证明）                                                                           2）管理平台支持查看告警列表，列表应可显示边缘防护设备 IP 地址、告警类型、告警时间、告警图片、告警描述等内容。（需提供软件截图证明）                                               </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3）管理平台支持查看边缘防护设备故障列表，展示节点名、节点 IP 及端口号、设备问题类型、问题发生时间，支持通过关键属性进行内容筛选。（需提供软件截图证明） </w:t>
            </w:r>
          </w:p>
        </w:tc>
      </w:tr>
      <w:tr w14:paraId="6A0E12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95026A2">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4</w:t>
            </w:r>
          </w:p>
        </w:tc>
        <w:tc>
          <w:tcPr>
            <w:tcW w:w="576" w:type="dxa"/>
            <w:vAlign w:val="center"/>
          </w:tcPr>
          <w:p w14:paraId="2C8F0C3D">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1A5D8AF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3713E8F">
            <w:pPr>
              <w:keepNext w:val="0"/>
              <w:keepLines w:val="0"/>
              <w:widowControl/>
              <w:suppressLineNumbers w:val="0"/>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i w:val="0"/>
                <w:iCs w:val="0"/>
                <w:color w:val="000000"/>
                <w:kern w:val="0"/>
                <w:sz w:val="24"/>
                <w:szCs w:val="24"/>
                <w:highlight w:val="none"/>
                <w:u w:val="none"/>
                <w:lang w:val="en-US" w:eastAsia="zh-CN"/>
              </w:rPr>
              <w:t>投标人所提供的</w:t>
            </w:r>
            <w:r>
              <w:rPr>
                <w:rFonts w:hint="eastAsia" w:ascii="仿宋" w:hAnsi="仿宋" w:eastAsia="仿宋" w:cs="仿宋"/>
                <w:color w:val="000000"/>
                <w:kern w:val="0"/>
                <w:sz w:val="24"/>
                <w:szCs w:val="24"/>
                <w:highlight w:val="none"/>
              </w:rPr>
              <w:t>19、排队叫号系统</w:t>
            </w:r>
            <w:r>
              <w:rPr>
                <w:rFonts w:hint="eastAsia" w:ascii="仿宋" w:hAnsi="仿宋" w:eastAsia="仿宋" w:cs="仿宋"/>
                <w:i w:val="0"/>
                <w:iCs w:val="0"/>
                <w:color w:val="000000"/>
                <w:kern w:val="0"/>
                <w:sz w:val="24"/>
                <w:szCs w:val="24"/>
                <w:highlight w:val="none"/>
                <w:u w:val="none"/>
                <w:lang w:val="en-US" w:eastAsia="zh-CN"/>
              </w:rPr>
              <w:t>的“13.</w:t>
            </w:r>
            <w:r>
              <w:rPr>
                <w:rFonts w:hint="eastAsia" w:ascii="仿宋" w:hAnsi="仿宋" w:eastAsia="仿宋" w:cs="仿宋"/>
                <w:color w:val="000000"/>
                <w:kern w:val="0"/>
                <w:sz w:val="24"/>
                <w:szCs w:val="24"/>
                <w:highlight w:val="none"/>
              </w:rPr>
              <w:t>排队叫号综合管理平台</w:t>
            </w:r>
            <w:r>
              <w:rPr>
                <w:rFonts w:hint="eastAsia" w:ascii="仿宋" w:hAnsi="仿宋" w:eastAsia="仿宋" w:cs="仿宋"/>
                <w:i w:val="0"/>
                <w:iCs w:val="0"/>
                <w:color w:val="000000"/>
                <w:kern w:val="0"/>
                <w:sz w:val="24"/>
                <w:szCs w:val="24"/>
                <w:highlight w:val="none"/>
                <w:u w:val="none"/>
                <w:lang w:val="en-US" w:eastAsia="zh-CN"/>
              </w:rPr>
              <w:t>”完全满足以下要求得1分，未满足任何一项要求的，不得分：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color w:val="000000"/>
                <w:kern w:val="0"/>
                <w:sz w:val="24"/>
                <w:szCs w:val="24"/>
                <w:highlight w:val="none"/>
                <w:lang w:eastAsia="zh-CN"/>
              </w:rPr>
              <w:t>1）</w:t>
            </w:r>
            <w:r>
              <w:rPr>
                <w:rFonts w:hint="eastAsia" w:ascii="仿宋" w:hAnsi="仿宋" w:eastAsia="仿宋" w:cs="仿宋"/>
                <w:color w:val="000000"/>
                <w:kern w:val="0"/>
                <w:sz w:val="24"/>
                <w:szCs w:val="24"/>
                <w:highlight w:val="none"/>
              </w:rPr>
              <w:t>系统支持提供高可用容灾服务，支持主应用服务器故障时自动转移至备应用服务器。</w:t>
            </w:r>
            <w:r>
              <w:rPr>
                <w:rFonts w:hint="eastAsia" w:ascii="仿宋" w:hAnsi="仿宋" w:eastAsia="仿宋" w:cs="仿宋"/>
                <w:i w:val="0"/>
                <w:iCs w:val="0"/>
                <w:color w:val="auto"/>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p>
          <w:p w14:paraId="74106EB7">
            <w:pPr>
              <w:keepNext w:val="0"/>
              <w:keepLines w:val="0"/>
              <w:widowControl/>
              <w:suppressLineNumbers w:val="0"/>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2）</w:t>
            </w:r>
            <w:r>
              <w:rPr>
                <w:rFonts w:hint="eastAsia" w:ascii="仿宋" w:hAnsi="仿宋" w:eastAsia="仿宋" w:cs="仿宋"/>
                <w:color w:val="000000"/>
                <w:kern w:val="0"/>
                <w:sz w:val="24"/>
                <w:szCs w:val="24"/>
                <w:highlight w:val="none"/>
              </w:rPr>
              <w:t>支持维护多音字发音，支持在后台以图形化界面为姓氏中常见多音字进行多音字替换发音维护，可自行对多音字进行增加或删除；</w:t>
            </w:r>
            <w:r>
              <w:rPr>
                <w:rFonts w:hint="eastAsia" w:ascii="仿宋" w:hAnsi="仿宋" w:eastAsia="仿宋" w:cs="仿宋"/>
                <w:i w:val="0"/>
                <w:iCs w:val="0"/>
                <w:color w:val="auto"/>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p>
          <w:p w14:paraId="2EB9CFF4">
            <w:pPr>
              <w:keepNext w:val="0"/>
              <w:keepLines w:val="0"/>
              <w:widowControl/>
              <w:suppressLineNumbers w:val="0"/>
              <w:jc w:val="left"/>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3）</w:t>
            </w:r>
            <w:r>
              <w:rPr>
                <w:rFonts w:hint="eastAsia" w:ascii="仿宋" w:hAnsi="仿宋" w:eastAsia="仿宋" w:cs="仿宋"/>
                <w:color w:val="000000"/>
                <w:kern w:val="0"/>
                <w:sz w:val="24"/>
                <w:szCs w:val="24"/>
                <w:highlight w:val="none"/>
              </w:rPr>
              <w:t>满足信息显示隐私保护，对面向公众的候诊屏显示，支持后台一键开启/关闭患者信息显示隐私保护功能，支持自定义隐私保护显示效果，如姓氏显示法，星号隐藏法等。</w:t>
            </w:r>
            <w:r>
              <w:rPr>
                <w:rFonts w:hint="eastAsia" w:ascii="仿宋" w:hAnsi="仿宋" w:eastAsia="仿宋" w:cs="仿宋"/>
                <w:i w:val="0"/>
                <w:iCs w:val="0"/>
                <w:color w:val="auto"/>
                <w:kern w:val="0"/>
                <w:sz w:val="24"/>
                <w:szCs w:val="24"/>
                <w:highlight w:val="none"/>
                <w:u w:val="none"/>
                <w:lang w:val="en-US" w:eastAsia="zh-CN"/>
              </w:rPr>
              <w:t>【需提供国家相关主管部门认可的检验检测机构出具的有效检验检测报告扫描件佐证（报告需盖有检验检测专用章或公章，带有CMA标识）】</w:t>
            </w:r>
          </w:p>
          <w:p w14:paraId="2259BE38">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color w:val="000000"/>
                <w:kern w:val="0"/>
                <w:sz w:val="24"/>
                <w:szCs w:val="24"/>
                <w:highlight w:val="none"/>
                <w:lang w:eastAsia="zh-CN"/>
              </w:rPr>
              <w:t>4）</w:t>
            </w:r>
            <w:r>
              <w:rPr>
                <w:rFonts w:hint="eastAsia" w:ascii="仿宋" w:hAnsi="仿宋" w:eastAsia="仿宋" w:cs="仿宋"/>
                <w:color w:val="000000"/>
                <w:kern w:val="0"/>
                <w:sz w:val="24"/>
                <w:szCs w:val="24"/>
                <w:highlight w:val="none"/>
              </w:rPr>
              <w:t>无缝接入旧院区叫号平台，实现统一平台管理。</w:t>
            </w:r>
            <w:r>
              <w:rPr>
                <w:rFonts w:hint="eastAsia" w:ascii="仿宋" w:hAnsi="仿宋" w:eastAsia="仿宋" w:cs="仿宋"/>
                <w:i w:val="0"/>
                <w:iCs w:val="0"/>
                <w:color w:val="000000"/>
                <w:kern w:val="0"/>
                <w:sz w:val="24"/>
                <w:szCs w:val="24"/>
                <w:highlight w:val="none"/>
                <w:u w:val="none"/>
                <w:lang w:val="en-US" w:eastAsia="zh-CN"/>
              </w:rPr>
              <w:t xml:space="preserve"> </w:t>
            </w:r>
            <w:r>
              <w:rPr>
                <w:rFonts w:hint="eastAsia" w:ascii="仿宋" w:hAnsi="仿宋" w:eastAsia="仿宋" w:cs="仿宋"/>
                <w:i w:val="0"/>
                <w:iCs w:val="0"/>
                <w:color w:val="auto"/>
                <w:kern w:val="0"/>
                <w:sz w:val="24"/>
                <w:szCs w:val="24"/>
                <w:highlight w:val="none"/>
                <w:u w:val="none"/>
                <w:lang w:val="en-US" w:eastAsia="zh-CN"/>
              </w:rPr>
              <w:t>【需提供承诺函】</w:t>
            </w:r>
          </w:p>
        </w:tc>
      </w:tr>
      <w:tr w14:paraId="6BCE0B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1B9D0D8">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5</w:t>
            </w:r>
          </w:p>
        </w:tc>
        <w:tc>
          <w:tcPr>
            <w:tcW w:w="576" w:type="dxa"/>
            <w:vAlign w:val="center"/>
          </w:tcPr>
          <w:p w14:paraId="0CDFF0D4">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auto"/>
                <w:kern w:val="0"/>
                <w:sz w:val="24"/>
                <w:szCs w:val="24"/>
                <w:highlight w:val="none"/>
                <w:u w:val="none"/>
                <w:lang w:val="en-US" w:eastAsia="zh-CN"/>
              </w:rPr>
              <w:t>0.5</w:t>
            </w:r>
          </w:p>
        </w:tc>
        <w:tc>
          <w:tcPr>
            <w:tcW w:w="456" w:type="dxa"/>
            <w:vAlign w:val="center"/>
          </w:tcPr>
          <w:p w14:paraId="0253D53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5F05B8C">
            <w:pPr>
              <w:keepNext w:val="0"/>
              <w:keepLines w:val="0"/>
              <w:widowControl/>
              <w:suppressLineNumbers w:val="0"/>
              <w:jc w:val="left"/>
              <w:textAlignment w:val="center"/>
              <w:rPr>
                <w:rFonts w:hint="eastAsia" w:ascii="仿宋" w:hAnsi="仿宋" w:eastAsia="仿宋" w:cs="仿宋"/>
                <w:i w:val="0"/>
                <w:iCs w:val="0"/>
                <w:color w:val="auto"/>
                <w:kern w:val="2"/>
                <w:sz w:val="24"/>
                <w:szCs w:val="24"/>
                <w:highlight w:val="none"/>
                <w:u w:val="none"/>
                <w:lang w:val="en-US" w:eastAsia="zh-CN" w:bidi="ar-SA"/>
              </w:rPr>
            </w:pPr>
            <w:r>
              <w:rPr>
                <w:rFonts w:hint="eastAsia" w:ascii="仿宋" w:hAnsi="仿宋" w:eastAsia="仿宋" w:cs="仿宋"/>
                <w:i w:val="0"/>
                <w:iCs w:val="0"/>
                <w:color w:val="auto"/>
                <w:kern w:val="0"/>
                <w:sz w:val="24"/>
                <w:szCs w:val="24"/>
                <w:highlight w:val="none"/>
                <w:u w:val="none"/>
                <w:lang w:val="en-US" w:eastAsia="zh-CN"/>
              </w:rPr>
              <w:t>投标人所提供的20、病房呼叫系统的“6.床位分机（不带屏幕）”完全满足以下要求得0.5分，未满足任何一项要求的，不得分：</w:t>
            </w:r>
            <w:r>
              <w:rPr>
                <w:rFonts w:hint="eastAsia" w:ascii="仿宋" w:hAnsi="仿宋" w:eastAsia="仿宋" w:cs="仿宋"/>
                <w:i w:val="0"/>
                <w:iCs w:val="0"/>
                <w:color w:val="auto"/>
                <w:kern w:val="0"/>
                <w:sz w:val="24"/>
                <w:szCs w:val="24"/>
                <w:highlight w:val="none"/>
                <w:u w:val="none"/>
                <w:lang w:val="en-US" w:eastAsia="zh-CN"/>
              </w:rPr>
              <w:br w:type="textWrapping"/>
            </w:r>
            <w:r>
              <w:rPr>
                <w:rFonts w:hint="eastAsia" w:ascii="仿宋" w:hAnsi="仿宋" w:eastAsia="仿宋" w:cs="仿宋"/>
                <w:i w:val="0"/>
                <w:iCs w:val="0"/>
                <w:color w:val="auto"/>
                <w:kern w:val="0"/>
                <w:sz w:val="24"/>
                <w:szCs w:val="24"/>
                <w:highlight w:val="none"/>
                <w:u w:val="none"/>
                <w:lang w:val="en-US" w:eastAsia="zh-CN"/>
              </w:rPr>
              <w:t>1）具备物理按键：呼叫按键、取消按键、护理按键、增援按键【需提供国家相关主管部门认可的检验检测机构出具的有效检验检测报告扫描件佐证（报告需盖有检验检测专用章或公章，带有CMA标识）】</w:t>
            </w:r>
          </w:p>
        </w:tc>
      </w:tr>
      <w:tr w14:paraId="59A69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6EF7110">
            <w:pPr>
              <w:pStyle w:val="7"/>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1-3</w:t>
            </w:r>
            <w:r>
              <w:rPr>
                <w:rFonts w:hint="eastAsia" w:ascii="仿宋" w:hAnsi="仿宋" w:eastAsia="仿宋" w:cs="仿宋"/>
                <w:sz w:val="24"/>
                <w:szCs w:val="24"/>
                <w:highlight w:val="none"/>
                <w:lang w:val="en-US" w:eastAsia="zh-CN"/>
              </w:rPr>
              <w:t>6</w:t>
            </w:r>
          </w:p>
        </w:tc>
        <w:tc>
          <w:tcPr>
            <w:tcW w:w="576" w:type="dxa"/>
            <w:vAlign w:val="center"/>
          </w:tcPr>
          <w:p w14:paraId="55F0FAD0">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03CA1A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73FB10D">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投标人所提供21、CCU探视系统的“1.CCU护士管理主机”完全满足以下要求得1分，未满足任何一项要求的，不得分：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1）具有一键报警呼叫自定义物理按键，可以在紧急情况下一键快速发起呼叫报警</w:t>
            </w:r>
            <w:r>
              <w:rPr>
                <w:rFonts w:hint="eastAsia" w:ascii="仿宋" w:hAnsi="仿宋" w:eastAsia="仿宋" w:cs="仿宋"/>
                <w:color w:val="000000"/>
                <w:kern w:val="0"/>
                <w:sz w:val="24"/>
                <w:highlight w:val="none"/>
                <w:u w:val="none"/>
              </w:rPr>
              <w:t>（提供承诺函，格式自拟）</w:t>
            </w:r>
            <w:r>
              <w:rPr>
                <w:rFonts w:hint="eastAsia" w:ascii="仿宋" w:hAnsi="仿宋" w:eastAsia="仿宋" w:cs="仿宋"/>
                <w:i w:val="0"/>
                <w:iCs w:val="0"/>
                <w:color w:val="000000"/>
                <w:kern w:val="0"/>
                <w:sz w:val="24"/>
                <w:szCs w:val="24"/>
                <w:highlight w:val="none"/>
                <w:u w:val="none"/>
                <w:lang w:val="en-US" w:eastAsia="zh-CN"/>
              </w:rPr>
              <w:t>。</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内置一体化支架，支持两种桌面查看模式:竖立模式:展开一体化支架，面积占用更小，占用桌面空间更小。平面模式，收起一体化支架，方便观看内容，空间占用更少。屏幕调整角度≥45度【提供产品竖立、平面两种模式实拍图片及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主机支持多端视频会话，屏幕可同步显示≥3画面（护士端、本地家属端、患者端），异地家属可移动端入会。同时支持CCU病房视频监控画面解码在主机预览，在保证CCU洁净环境的基础上全方面满足本地及异地家属探视需求（提供软件功能截图佐证）</w:t>
            </w:r>
          </w:p>
        </w:tc>
      </w:tr>
      <w:tr w14:paraId="2BC583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6EEC35B">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37</w:t>
            </w:r>
          </w:p>
        </w:tc>
        <w:tc>
          <w:tcPr>
            <w:tcW w:w="576" w:type="dxa"/>
            <w:vAlign w:val="center"/>
          </w:tcPr>
          <w:p w14:paraId="38F8018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B94D56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28024CFB">
            <w:pPr>
              <w:keepNext w:val="0"/>
              <w:keepLines w:val="0"/>
              <w:widowControl/>
              <w:numPr>
                <w:ilvl w:val="-1"/>
                <w:numId w:val="0"/>
              </w:numPr>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投标人所提供的22、移动护理查房系统的“3.PDA”完全满足以下要求得1分，未满足任何一项要求的，不得分：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1)隐蔽取证： 摄像头位于设备顶部，与扫描头在同一位置，取证方便、隐蔽。（需提供产品实物图片证明文件）</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2)电池温度监测：配置充电温度智能检测模块，超出设定温度及时阻断充电，保证充电安全。 （需提供功能截图）</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3)电池膨胀监测：电池膨胀监测，超过膨胀预警值后将及时上报用户并中止充电提醒用户更换电池。（需提供功能截图）</w:t>
            </w:r>
          </w:p>
        </w:tc>
      </w:tr>
      <w:tr w14:paraId="5CF35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9095B78">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38</w:t>
            </w:r>
          </w:p>
        </w:tc>
        <w:tc>
          <w:tcPr>
            <w:tcW w:w="576" w:type="dxa"/>
            <w:vAlign w:val="center"/>
          </w:tcPr>
          <w:p w14:paraId="7CACC32B">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15B7650D">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1298A4FE">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rPr>
              <w:t>投标人所提供的24、机房工程的“56.600宽机柜”完全满足以下要求得0.5分，未满足任何一项要求的，不得分：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机柜静态承重需不小于2600kg，动载测试满足带载不低于1500kg测试通过动载DL4振动冲击试验。【需提供国家相关主管部门认可的检验检测机构出具的有效检验检测报告扫描件佐证（报告需盖有检验检测专用章或公章，带有CMA标识）】</w:t>
            </w:r>
          </w:p>
          <w:p w14:paraId="1C42AA16">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color w:val="000000"/>
                <w:kern w:val="0"/>
                <w:sz w:val="24"/>
                <w:highlight w:val="none"/>
                <w:u w:val="none"/>
              </w:rPr>
              <w:t>2）机柜所用材质应具备阻燃性，其燃烧性能应符合GB 8624《建筑材料及制品燃烧性能分级》A级要求。【需提供国家相关主管部门认可的检验检测机构出具的有效检验检测报告扫描件佐证（报告需盖有检验检测专用章或公章，带有CMA标识）】</w:t>
            </w:r>
          </w:p>
        </w:tc>
      </w:tr>
      <w:tr w14:paraId="464938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0923482A">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39</w:t>
            </w:r>
          </w:p>
        </w:tc>
        <w:tc>
          <w:tcPr>
            <w:tcW w:w="576" w:type="dxa"/>
            <w:vAlign w:val="center"/>
          </w:tcPr>
          <w:p w14:paraId="3654837E">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9E58B4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89425E9">
            <w:pPr>
              <w:keepNext w:val="0"/>
              <w:keepLines w:val="0"/>
              <w:widowControl/>
              <w:suppressLineNumbers w:val="0"/>
              <w:jc w:val="left"/>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投标人所提供的25、UPS配电系统的“2./8./17./25.锂电池柜”完全满足以下要求得1分，未满足任何一项要求的，不得分：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1）锂电池系统要求与UPS同品牌，锂电池整柜五年保修，电芯十年保修，锂电池柜不接受OEM产品，投标人需提供承诺函。</w:t>
            </w:r>
          </w:p>
          <w:p w14:paraId="00CD3A96">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color w:val="000000"/>
                <w:kern w:val="0"/>
                <w:sz w:val="24"/>
                <w:szCs w:val="24"/>
                <w:highlight w:val="none"/>
                <w:lang w:val="en-US" w:eastAsia="zh-CN"/>
              </w:rPr>
              <w:t>2）</w:t>
            </w:r>
            <w:r>
              <w:rPr>
                <w:rFonts w:hint="eastAsia" w:ascii="仿宋" w:hAnsi="仿宋" w:eastAsia="仿宋" w:cs="仿宋"/>
                <w:i w:val="0"/>
                <w:iCs w:val="0"/>
                <w:color w:val="000000"/>
                <w:kern w:val="0"/>
                <w:sz w:val="24"/>
                <w:szCs w:val="24"/>
                <w:highlight w:val="none"/>
                <w:u w:val="none"/>
                <w:lang w:val="en-US" w:eastAsia="zh-CN"/>
              </w:rPr>
              <w:t>锂电池系统应按照高安全保护等级进行设计，应当包含3级保护：电芯级、模组级、机柜级。锂电池电芯要求设计有微胶囊灭火剂，确保电芯在热失控前，微胶囊灭火剂可及时工作，抑制电芯的温升，确保使用安全(需提供技术说明文件作为佐证)。</w:t>
            </w:r>
          </w:p>
        </w:tc>
      </w:tr>
      <w:tr w14:paraId="4830DD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332AE5B9">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40</w:t>
            </w:r>
          </w:p>
        </w:tc>
        <w:tc>
          <w:tcPr>
            <w:tcW w:w="576" w:type="dxa"/>
            <w:vAlign w:val="center"/>
          </w:tcPr>
          <w:p w14:paraId="4884C242">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1.5</w:t>
            </w:r>
          </w:p>
        </w:tc>
        <w:tc>
          <w:tcPr>
            <w:tcW w:w="456" w:type="dxa"/>
            <w:vAlign w:val="center"/>
          </w:tcPr>
          <w:p w14:paraId="7A78C3E4">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13D56FA">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投标人所提供的26、计算机网络与安全系统中的“1./25.下一代防火墙（含IPS）”完全满足以下要求得1.5分，未满足任何一项要求的，不得分：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1）支持对压缩病毒文件进行检测和拦截，压缩层数支持15层及以上。【需提供国家相关主管部门认可的检验检测机构出具的有效检验检测报告扫描件佐证（报告需盖有检验检测专用章或公章，带有CMA标识）】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对不少于9000种应用的识别和控制，应用类型包括游戏、购物、图书百科、工作招聘、P2P下载、聊天工具、旅游出行、股票软件等类型应用进行检测与控制。【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内置漏洞攻击特征规则库数量不低于16000条，同时支持在控制台界面通过漏洞ID、漏洞名称、危险等级、漏洞CVE标识、漏洞描述等条件查询漏洞特征信息，支持用户自定义IPS规则。【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云威胁情报网关技术，实现对威胁流量就近进行实时检测&amp;拦截，实现失陷外联100ms实时阻断，保护资产安全。支持云端未知威胁主动探测技术，实现5min内未知威胁情报全网设备下发【需提供国家相关主管部门认可的检验检测机构出具的有效检验检测报告扫描件佐证（报告需盖有检验检测专用章或公章，带有CMA标识）】</w:t>
            </w:r>
          </w:p>
        </w:tc>
      </w:tr>
      <w:tr w14:paraId="584D71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37667AAE">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41</w:t>
            </w:r>
          </w:p>
        </w:tc>
        <w:tc>
          <w:tcPr>
            <w:tcW w:w="576" w:type="dxa"/>
            <w:vAlign w:val="center"/>
          </w:tcPr>
          <w:p w14:paraId="28382506">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1F0826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368E18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投标人所提供的26、计算机网络与安全系统的“20.VPN”完全满足以下要求得1分，未满足任何一项要求的，不得分：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为了保障VPN的高可用性，需与现有零信任VPN设备实现高可靠，实现授权共享和高可用，避免单点故障风险。</w:t>
            </w:r>
            <w:r>
              <w:rPr>
                <w:rFonts w:hint="eastAsia" w:ascii="仿宋" w:hAnsi="仿宋" w:eastAsia="仿宋" w:cs="仿宋"/>
                <w:i w:val="0"/>
                <w:iCs w:val="0"/>
                <w:color w:val="000000"/>
                <w:kern w:val="0"/>
                <w:sz w:val="24"/>
                <w:szCs w:val="24"/>
                <w:highlight w:val="none"/>
                <w:u w:val="none"/>
                <w:lang w:val="en-US" w:eastAsia="zh-CN"/>
              </w:rPr>
              <w:t>（需提供投标人承诺函，格式自拟）</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为保障设备的高可用性，需支持组建集群，集群下各节点的零信任授权数均可共享使用，集群的总接入授权数是各节点授权数总和；此外支持集群授权漂移功能，集群节点故障后剩余节点能够接管业务，本地集群支持授权漂移机制，集群中的单节点故障后，集群的总授权数和故障前保持一致【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零信任控制中心需支持单包授权能力（SPA），支持UDP+TCP组合的单包授权技术，未授权的用户无法扫描到服务端口；支持配置PC端和移动端通过安全码激活客户端为授权客户端，安全码支持共享码和一人一码两种模式，支持短信分发安全码；一人一码模式下，当实际登录用户跟分发SPA安全码绑定的用户不一致时，可以产生安全告警【需提供国家相关主管部门认可的检验检测机构出具的有效检验检测报告扫描件佐证（报告需盖有检验检测专用章或公章，带有CMA标识）】</w:t>
            </w:r>
          </w:p>
        </w:tc>
      </w:tr>
      <w:tr w14:paraId="62D30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7032ED23">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r>
              <w:rPr>
                <w:rFonts w:hint="eastAsia" w:ascii="仿宋" w:hAnsi="仿宋" w:eastAsia="仿宋" w:cs="仿宋"/>
                <w:sz w:val="24"/>
                <w:szCs w:val="24"/>
                <w:highlight w:val="none"/>
                <w:lang w:val="en-US" w:eastAsia="zh-CN"/>
              </w:rPr>
              <w:t>2</w:t>
            </w:r>
          </w:p>
        </w:tc>
        <w:tc>
          <w:tcPr>
            <w:tcW w:w="576" w:type="dxa"/>
            <w:vAlign w:val="center"/>
          </w:tcPr>
          <w:p w14:paraId="3C4DFB70">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38717C9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13442BB">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投标人所提供26、计算机网络与安全的“5.态势感知平台、16.态势感知平台”完全满足以下要求得1分，未满足任何一项要求的，不得分：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文件威胁分析，支持内置的恶意脚本分析引擎、智能引擎、智能分析引擎以及云端分析引擎组合进行综合研判；支持展示查杀数据统计、受害资产攻击数TOP5，支持以列表的形式展示文件威胁信息，包括最近发生时间、威胁描述、威胁定性、威胁类型、攻击阶段、受害者IP、攻击次数等信息【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EBA实体行为分析功能，通过对对象进行持续的行为分析和行为画像构建、识别服务器异常，包括DGA解析请求、外联C&amp;C服务器、异常协议利用、下载可疑文件、异常横向访问等【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具备实时告警分析能力，支持对外网服务器暴露面分析、内网服务器暴露面分析，支持实时告警分析和攻击者分析，支持全过程可视溯源分析【需提供国家相关主管部门认可的检验检测机构出具的有效检验检测报告扫描件佐证（报告需盖有检验检测专用章或公章，带有CMA标识）】</w:t>
            </w:r>
            <w:r>
              <w:rPr>
                <w:rFonts w:hint="eastAsia" w:ascii="仿宋" w:hAnsi="仿宋" w:eastAsia="仿宋" w:cs="仿宋"/>
                <w:sz w:val="24"/>
                <w:szCs w:val="24"/>
                <w:highlight w:val="none"/>
                <w:lang w:eastAsia="zh-CN"/>
              </w:rPr>
              <w:t>。</w:t>
            </w:r>
          </w:p>
        </w:tc>
      </w:tr>
      <w:tr w14:paraId="2586F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63CAA5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1-4</w:t>
            </w:r>
            <w:r>
              <w:rPr>
                <w:rFonts w:hint="eastAsia" w:ascii="仿宋" w:hAnsi="仿宋" w:eastAsia="仿宋" w:cs="仿宋"/>
                <w:sz w:val="24"/>
                <w:szCs w:val="24"/>
                <w:highlight w:val="none"/>
                <w:lang w:val="en-US" w:eastAsia="zh-CN"/>
              </w:rPr>
              <w:t>3</w:t>
            </w:r>
          </w:p>
        </w:tc>
        <w:tc>
          <w:tcPr>
            <w:tcW w:w="576" w:type="dxa"/>
            <w:vAlign w:val="center"/>
          </w:tcPr>
          <w:p w14:paraId="0B2C0897">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7DF346E7">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F28D0C5">
            <w:pPr>
              <w:keepNext w:val="0"/>
              <w:keepLines w:val="0"/>
              <w:widowControl/>
              <w:suppressLineNumbers w:val="0"/>
              <w:jc w:val="left"/>
              <w:textAlignment w:val="center"/>
              <w:rPr>
                <w:rFonts w:hint="eastAsia" w:ascii="仿宋" w:hAnsi="仿宋" w:eastAsia="仿宋" w:cs="仿宋"/>
                <w:color w:val="000000"/>
                <w:kern w:val="0"/>
                <w:sz w:val="24"/>
                <w:highlight w:val="none"/>
                <w:u w:val="none"/>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投标人所提供的26、计算机网络与安全的“6.内网准入系统”完全满足以下要求得1分，未满足任何一项要求的，不得分：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w:t>
            </w:r>
            <w:r>
              <w:rPr>
                <w:rFonts w:hint="eastAsia" w:ascii="仿宋" w:hAnsi="仿宋" w:eastAsia="仿宋" w:cs="仿宋"/>
                <w:color w:val="000000"/>
                <w:kern w:val="0"/>
                <w:sz w:val="24"/>
                <w:highlight w:val="none"/>
                <w:u w:val="none"/>
              </w:rPr>
              <w:t>vlan映射配置采用不同正常vlan对应不同隔离vlan的方式，支持NAT穿越配置（需要提供产品实际功能截图证明）</w:t>
            </w:r>
          </w:p>
          <w:p w14:paraId="6F9FAFB2">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2）支持终端入网前对杀毒软件安装情况、病毒库版本、软件版本进行安全检查，同时针对不符合安装情况、病毒库版本、软件版本终端选择定向修复方式，</w:t>
            </w:r>
            <w:r>
              <w:rPr>
                <w:rFonts w:hint="eastAsia" w:ascii="仿宋" w:hAnsi="仿宋" w:eastAsia="仿宋" w:cs="仿宋"/>
                <w:color w:val="000000"/>
                <w:kern w:val="0"/>
                <w:sz w:val="24"/>
                <w:highlight w:val="none"/>
                <w:u w:val="none"/>
              </w:rPr>
              <w:t>包括运行指定程序进行修复和打开网址进行引导修复</w:t>
            </w:r>
            <w:r>
              <w:rPr>
                <w:rFonts w:hint="eastAsia" w:ascii="仿宋" w:hAnsi="仿宋" w:eastAsia="仿宋" w:cs="仿宋"/>
                <w:i w:val="0"/>
                <w:iCs w:val="0"/>
                <w:color w:val="000000"/>
                <w:kern w:val="0"/>
                <w:sz w:val="24"/>
                <w:szCs w:val="24"/>
                <w:highlight w:val="none"/>
                <w:u w:val="none"/>
                <w:lang w:val="en-US" w:eastAsia="zh-CN"/>
              </w:rPr>
              <w:t>。产品内置杀毒软件检查种类包括但不限于微软杀毒软件（MSE）、火绒安全、安天杀毒、天融信杀毒、赛门铁克、瑞星、卡巴斯基、金山毒霸、江民、NOD32、360杀毒、天擎、亚信安全、小红伞、可牛免费杀毒、Avast等（需要提供产品实际功能截图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自定义设备指纹规则，根据设备类型可自定义的信息至少包括：IP地址、MAC地址、操作系统、网页标题、Telnet输出、FTP输出、SSH输出、对外端口、MAC厂商、网页内容、网页服务器、DHCP、HTTP-UserAgent（需要提供产品实际功能截图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4）需支持记录终端7天内的状态，内容包括但不限于终端上线时间、</w:t>
            </w:r>
            <w:r>
              <w:rPr>
                <w:rFonts w:hint="eastAsia" w:ascii="仿宋" w:hAnsi="仿宋" w:eastAsia="仿宋" w:cs="仿宋"/>
                <w:color w:val="000000"/>
                <w:kern w:val="0"/>
                <w:sz w:val="24"/>
                <w:highlight w:val="none"/>
                <w:u w:val="none"/>
              </w:rPr>
              <w:t>准入状态</w:t>
            </w:r>
            <w:r>
              <w:rPr>
                <w:rFonts w:hint="eastAsia" w:ascii="仿宋" w:hAnsi="仿宋" w:eastAsia="仿宋" w:cs="仿宋"/>
                <w:i w:val="0"/>
                <w:iCs w:val="0"/>
                <w:color w:val="000000"/>
                <w:kern w:val="0"/>
                <w:sz w:val="24"/>
                <w:szCs w:val="24"/>
                <w:highlight w:val="none"/>
                <w:u w:val="none"/>
                <w:lang w:val="en-US" w:eastAsia="zh-CN"/>
              </w:rPr>
              <w:t>、IP地址、接入位置、认证时间、</w:t>
            </w:r>
            <w:r>
              <w:rPr>
                <w:rFonts w:hint="eastAsia" w:ascii="仿宋" w:hAnsi="仿宋" w:eastAsia="仿宋" w:cs="仿宋"/>
                <w:color w:val="000000"/>
                <w:kern w:val="0"/>
                <w:sz w:val="24"/>
                <w:highlight w:val="none"/>
                <w:u w:val="none"/>
              </w:rPr>
              <w:t>当前账户</w:t>
            </w:r>
            <w:r>
              <w:rPr>
                <w:rFonts w:hint="eastAsia" w:ascii="仿宋" w:hAnsi="仿宋" w:eastAsia="仿宋" w:cs="仿宋"/>
                <w:i w:val="0"/>
                <w:iCs w:val="0"/>
                <w:color w:val="000000"/>
                <w:kern w:val="0"/>
                <w:sz w:val="24"/>
                <w:szCs w:val="24"/>
                <w:highlight w:val="none"/>
                <w:u w:val="none"/>
                <w:lang w:val="en-US" w:eastAsia="zh-CN"/>
              </w:rPr>
              <w:t>、</w:t>
            </w:r>
            <w:r>
              <w:rPr>
                <w:rFonts w:hint="eastAsia" w:ascii="仿宋" w:hAnsi="仿宋" w:eastAsia="仿宋" w:cs="仿宋"/>
                <w:color w:val="000000"/>
                <w:kern w:val="0"/>
                <w:sz w:val="24"/>
                <w:highlight w:val="none"/>
                <w:u w:val="none"/>
              </w:rPr>
              <w:t>安检结果、合规可访问域、离线时间等信息。</w:t>
            </w:r>
            <w:r>
              <w:rPr>
                <w:rFonts w:hint="eastAsia" w:ascii="仿宋" w:hAnsi="仿宋" w:eastAsia="仿宋" w:cs="仿宋"/>
                <w:i w:val="0"/>
                <w:iCs w:val="0"/>
                <w:color w:val="000000"/>
                <w:kern w:val="0"/>
                <w:sz w:val="24"/>
                <w:szCs w:val="24"/>
                <w:highlight w:val="none"/>
                <w:u w:val="none"/>
                <w:lang w:val="en-US" w:eastAsia="zh-CN"/>
              </w:rPr>
              <w:t>同时支持在同一界面上集成基于web的ping、路由追踪、抓包、网络测试、获取日志等操作（需要提供产品实际功能截图证明）。</w:t>
            </w:r>
          </w:p>
        </w:tc>
      </w:tr>
      <w:tr w14:paraId="0A2D6B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1D01209F">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44</w:t>
            </w:r>
          </w:p>
        </w:tc>
        <w:tc>
          <w:tcPr>
            <w:tcW w:w="576" w:type="dxa"/>
            <w:vAlign w:val="center"/>
          </w:tcPr>
          <w:p w14:paraId="01EA35D3">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409B9071">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E549B27">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投标人所提供26、计算机网络与安全的“24.上网行为管理”完全满足以下要求得1分，未满足任何一项要求的，不得分：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动态流量调整，在设置流量策略后根据整体线路或者某流量通道内的空闲情况，自动启用和停止使用流量控制策略以提升带宽的高使用率，线路空闲值可自定义。支持P2P智能流控，通过抑制P2P的下行丢包，来减缓P2P的下行流量，从而解决网络出口在做流控后仍然压力较大的问题【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SSL解密功能，包括中间人解密和准入客户端解密两种方式。支持加密邮件过滤，能够对加密HTTPS、SMTP-SSL、SMTP的邮件进行关键字过滤【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非法代理管控功能，不允许使用外部HTTP代理，不允许使用外部SOCKS4/5代理，不允许在HTTP，SSL一些的标准端口上使用其他协议【需提供国家相关主管部门认可的检验检测机构出具的有效检验检测报告扫描件佐证（报告需盖有检验检测专用章或公章，带有CMA标识）】</w:t>
            </w:r>
          </w:p>
        </w:tc>
      </w:tr>
      <w:tr w14:paraId="071E99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2B1C0DC9">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45</w:t>
            </w:r>
          </w:p>
        </w:tc>
        <w:tc>
          <w:tcPr>
            <w:tcW w:w="576" w:type="dxa"/>
            <w:vAlign w:val="center"/>
          </w:tcPr>
          <w:p w14:paraId="15AD8EC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65DF178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694517B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投标人所提供的26、计算机网络与安全的“21.负载均衡”完全满足以下要求得1分，未满足任何一项要求的，不得分：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1）支持OceanBase、达梦和人大金仓数据库的负载均衡。【需提供国家相关主管部门认可的检验检测机构出具的有效检验检测报告扫描件佐证（报告需盖有检验检测专用章或公章，带有CMA标识）】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模拟健康监测功能，无需完成真实的业务配置即可提前采用icmp、http、https、tcp、ftp、MYSQL、LDAP以及dns等的健康检查方式模拟检查业务的健康状态。【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3）支持标准的DNS服务，支持正向解析和反向解析功能，支持CAA的DNS记录类型；支持 DNS RPZ 防火墙功能，支持定义RPZ 规则来阻止访问受感染的站点。【需提供国家相关主管部门认可的检验检测机构出具的有效检验检测报告扫描件佐证（报告需盖有检验检测专用章或公章，带有CMA标识）】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4）支持通过Web页面进行智能DNS解析规则测试；HTTPS服务及HTTPS健康检查均支持TLS1.3及国密协议。【需提供国家相关主管部门认可的检验检测机构出具的有效检验检测报告扫描件佐证（报告需盖有检验检测专用章或公章，带有CMA标识）】</w:t>
            </w:r>
          </w:p>
        </w:tc>
      </w:tr>
      <w:tr w14:paraId="4FD25E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E71666B">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46</w:t>
            </w:r>
          </w:p>
        </w:tc>
        <w:tc>
          <w:tcPr>
            <w:tcW w:w="576" w:type="dxa"/>
            <w:vAlign w:val="center"/>
          </w:tcPr>
          <w:p w14:paraId="48AAFE1E">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52602D3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4A6A78CC">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投标人所提供的26、计算机网络与安全的“3./22.WAF防火墙”完全满足以下要求得1分，未满足任何一项要求的，不得分：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支持漏洞防扫描、HTTP方法过滤、SQL注入攻击防护、XSS跨站脚本攻击防护、操作系统注入攻击防护、目录遍历攻击防护、信息泄露攻击防护、Webshell上传攻击防护、HTTP错误信息隐藏、cookie攻击防护、C&amp;C攻击防护、X-Forwarded-For防护、CSRF防护等安全防护功能，且内置Web应用防护识别特征库≥4800条【需提供国家相关主管部门认可的检验检测机构出具的有效检验检测报告扫描件佐证（报告需盖有检验检测专用章或公章，带有CMA标识）（包含报告首页、上述每个功能的检测过程和结果）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内置漏洞攻击特征规则库数量不低于16000条，同时支持在控制台界面通过漏洞ID、漏洞名称、危险等级、漏洞CVE标识、漏洞描述等条件查询漏洞特征信息，支持用户自定义IPS规则。【需提供国家相关主管部门认可的检验检测机构出具的有效检验检测报告扫描件佐证（报告需盖有检验检测专用章或公章，带有CMA标识）（包含报告首页、上述每个功能的检测过程和结果）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内置蜜罐诱捕服务，在WAF防火墙上部署一些作为诱饵的伪装业务，诱捕内外网的攻击行为，并联合云端分析技术溯源和反制，在设备界面可以看到攻击者列表，包含攻击者IP、危险等级、攻击源、地理位置、社交指纹、影响真实业务、攻击次数、最早攻击时间、最近攻击时间。（提供产品功能截图）。</w:t>
            </w:r>
          </w:p>
        </w:tc>
      </w:tr>
      <w:tr w14:paraId="13B70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F97EB8E">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47</w:t>
            </w:r>
          </w:p>
        </w:tc>
        <w:tc>
          <w:tcPr>
            <w:tcW w:w="576" w:type="dxa"/>
            <w:vAlign w:val="center"/>
          </w:tcPr>
          <w:p w14:paraId="1E5E9D4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328B616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396542B5">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rPr>
              <w:t>投标人所提供的26、计算机网络与安全的“8./17堡垒机”完全满足以下要求得1分，未满足任何一项要求的，不得分：</w:t>
            </w:r>
          </w:p>
          <w:p w14:paraId="78D7F23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1）支持标准化对接CAS、JWT、SAML2、OAuth2单点登录认证，且CAS、SAML2、OAuth2支持配置是否自动创建堡垒机中不存在用户。（需要提供产品实际功能截图证明）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2）具备自动化编排能力，通过编排动作流的方式，对目标资产进行定时或周期性的自动化运维。动作流可包括：上传文件、执行命令、下载文件等。动作流会按设定好的顺序进行执行</w:t>
            </w:r>
            <w:r>
              <w:rPr>
                <w:rFonts w:hint="eastAsia" w:ascii="仿宋" w:hAnsi="仿宋" w:eastAsia="仿宋" w:cs="仿宋"/>
                <w:color w:val="000000"/>
                <w:kern w:val="0"/>
                <w:sz w:val="24"/>
                <w:highlight w:val="none"/>
                <w:u w:val="none"/>
              </w:rPr>
              <w:t>，对于常见的运维工作，如升级、巡检等，均可通过此能力快速执行。</w:t>
            </w:r>
            <w:r>
              <w:rPr>
                <w:rFonts w:hint="eastAsia" w:ascii="仿宋" w:hAnsi="仿宋" w:eastAsia="仿宋" w:cs="仿宋"/>
                <w:i w:val="0"/>
                <w:iCs w:val="0"/>
                <w:color w:val="000000"/>
                <w:kern w:val="0"/>
                <w:sz w:val="24"/>
                <w:szCs w:val="24"/>
                <w:highlight w:val="none"/>
                <w:u w:val="none"/>
                <w:lang w:val="en-US" w:eastAsia="zh-CN"/>
              </w:rPr>
              <w:t>（需要提供产品实际功能截图证明）</w:t>
            </w:r>
          </w:p>
        </w:tc>
      </w:tr>
      <w:tr w14:paraId="1F2C71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37D6DF9F">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48</w:t>
            </w:r>
          </w:p>
        </w:tc>
        <w:tc>
          <w:tcPr>
            <w:tcW w:w="576" w:type="dxa"/>
            <w:vAlign w:val="center"/>
          </w:tcPr>
          <w:p w14:paraId="3075BB35">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2</w:t>
            </w:r>
          </w:p>
        </w:tc>
        <w:tc>
          <w:tcPr>
            <w:tcW w:w="456" w:type="dxa"/>
            <w:vAlign w:val="center"/>
          </w:tcPr>
          <w:p w14:paraId="65772B8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0BAB649A">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投标人所提供的27、本地容灾硬件系统的“4.内网虚拟化软件（22个节点）、</w:t>
            </w:r>
            <w:r>
              <w:rPr>
                <w:rFonts w:hint="eastAsia" w:ascii="仿宋" w:hAnsi="仿宋" w:eastAsia="仿宋" w:cs="仿宋"/>
                <w:color w:val="000000"/>
                <w:kern w:val="0"/>
                <w:sz w:val="24"/>
                <w:highlight w:val="none"/>
                <w:u w:val="none"/>
              </w:rPr>
              <w:t>5.外网DMZ虚拟化软件（6个节点）</w:t>
            </w:r>
            <w:r>
              <w:rPr>
                <w:rFonts w:hint="eastAsia" w:ascii="仿宋" w:hAnsi="仿宋" w:eastAsia="仿宋" w:cs="仿宋"/>
                <w:i w:val="0"/>
                <w:iCs w:val="0"/>
                <w:color w:val="000000"/>
                <w:kern w:val="0"/>
                <w:sz w:val="24"/>
                <w:szCs w:val="24"/>
                <w:highlight w:val="none"/>
                <w:u w:val="none"/>
                <w:lang w:val="en-US" w:eastAsia="zh-CN"/>
              </w:rPr>
              <w:t>”完全满足以下要求得2分，未满足任何一项要求的，不得分：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1）超融合支持存储副本 I/O 本地化功能，保证虚拟机计算和存储副本在相同节点，所有读I/O仅访问本地节点副本并降低虚拟机跨节点数据读取带来的网络延迟，以满足业务的性能需求，虚拟机发生迁移后，数据副本可在新目标主机重新形成本地化。（提供官网截图或技术文档）</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超融合平台内置的分布式存储支持2副本/3副本数据存储策略，支持针对虚拟磁盘维度设置不同的副本策略，支持用户通过平台UI界面在线调整虚拟磁盘副本数如从2副本提升至3副本，同时调整过程中虚拟机业务不受影响且虚拟磁盘中的数据保持完整。（提供产品功能截图或技术文档）</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3）超融合平台集群在三节点两副本且集群故障一节点的特殊情况下依旧能够利用已有空间自动重建数据以恢复到正常副本数，虚拟机业务不受影响。（须提供书面承诺函，格式自拟）</w:t>
            </w:r>
          </w:p>
        </w:tc>
      </w:tr>
      <w:tr w14:paraId="00CAF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68338898">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49</w:t>
            </w:r>
          </w:p>
        </w:tc>
        <w:tc>
          <w:tcPr>
            <w:tcW w:w="576" w:type="dxa"/>
            <w:vAlign w:val="center"/>
          </w:tcPr>
          <w:p w14:paraId="23B896BD">
            <w:pPr>
              <w:keepNext w:val="0"/>
              <w:keepLines w:val="0"/>
              <w:widowControl/>
              <w:suppressLineNumbers w:val="0"/>
              <w:jc w:val="center"/>
              <w:textAlignment w:val="center"/>
              <w:rPr>
                <w:rFonts w:hint="eastAsia" w:ascii="仿宋" w:hAnsi="仿宋" w:eastAsia="仿宋" w:cs="仿宋"/>
                <w:sz w:val="24"/>
                <w:szCs w:val="24"/>
                <w:highlight w:val="none"/>
              </w:rPr>
            </w:pPr>
            <w:r>
              <w:rPr>
                <w:rFonts w:hint="eastAsia" w:ascii="仿宋" w:hAnsi="仿宋" w:eastAsia="仿宋" w:cs="仿宋"/>
                <w:i w:val="0"/>
                <w:iCs w:val="0"/>
                <w:color w:val="000000"/>
                <w:kern w:val="0"/>
                <w:sz w:val="24"/>
                <w:szCs w:val="24"/>
                <w:highlight w:val="none"/>
                <w:u w:val="none"/>
                <w:lang w:val="en-US" w:eastAsia="zh-CN"/>
              </w:rPr>
              <w:t>1</w:t>
            </w:r>
          </w:p>
        </w:tc>
        <w:tc>
          <w:tcPr>
            <w:tcW w:w="456" w:type="dxa"/>
            <w:vAlign w:val="center"/>
          </w:tcPr>
          <w:p w14:paraId="31308C3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07E87A18">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rPr>
              <w:t>投标人所提供的27、本地容灾硬件系统的“6.业务科室分布式存储”完全满足以下要求得1分，未满足任何一项要求的，不得分：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color w:val="000000"/>
                <w:kern w:val="0"/>
                <w:sz w:val="24"/>
                <w:highlight w:val="none"/>
                <w:u w:val="none"/>
                <w:lang w:eastAsia="zh-CN"/>
              </w:rPr>
              <w:t>1）</w:t>
            </w:r>
            <w:r>
              <w:rPr>
                <w:rFonts w:hint="eastAsia" w:ascii="仿宋" w:hAnsi="仿宋" w:eastAsia="仿宋" w:cs="仿宋"/>
                <w:color w:val="000000"/>
                <w:kern w:val="0"/>
                <w:sz w:val="24"/>
                <w:highlight w:val="none"/>
                <w:u w:val="none"/>
              </w:rPr>
              <w:t>网络协议：支持NFSv3、NFSv4、NFS Kerberized 会话（UDP或TCP）、SMB1 (CIFS)、SMB2、SMB3、SMB3-CA、多通道、HTTP、FTP、NDMP、SNMP、LDAP、HDFS、S3、ADS、NIS读/写；</w:t>
            </w:r>
            <w:r>
              <w:rPr>
                <w:rFonts w:hint="eastAsia" w:ascii="仿宋" w:hAnsi="仿宋" w:eastAsia="仿宋" w:cs="仿宋"/>
                <w:i w:val="0"/>
                <w:iCs w:val="0"/>
                <w:color w:val="000000"/>
                <w:kern w:val="0"/>
                <w:sz w:val="24"/>
                <w:szCs w:val="24"/>
                <w:highlight w:val="none"/>
                <w:u w:val="none"/>
                <w:lang w:val="en-US" w:eastAsia="zh-CN"/>
              </w:rPr>
              <w:t>（提供官网截图和链接证明）</w:t>
            </w:r>
          </w:p>
          <w:p w14:paraId="082C80F0">
            <w:pPr>
              <w:keepNext w:val="0"/>
              <w:keepLines w:val="0"/>
              <w:widowControl/>
              <w:numPr>
                <w:ilvl w:val="0"/>
                <w:numId w:val="1"/>
              </w:numPr>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color w:val="000000"/>
                <w:kern w:val="0"/>
                <w:sz w:val="24"/>
                <w:highlight w:val="none"/>
                <w:u w:val="none"/>
              </w:rPr>
              <w:t>安全性：支持文件系统审核功能，可提高存储基础架构的安全和控制并满足法规遵从性要求（提供官网截图和链接证明）</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3）自动化存储分层：基于策略的自动分层选项，可优化存储资源和降低成本；（提供官网截图和链接证明）</w:t>
            </w:r>
          </w:p>
        </w:tc>
      </w:tr>
      <w:tr w14:paraId="5DCDA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vAlign w:val="center"/>
          </w:tcPr>
          <w:p w14:paraId="4CD05FAF">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1-50</w:t>
            </w:r>
          </w:p>
        </w:tc>
        <w:tc>
          <w:tcPr>
            <w:tcW w:w="576" w:type="dxa"/>
            <w:vAlign w:val="center"/>
          </w:tcPr>
          <w:p w14:paraId="6D31976D">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2</w:t>
            </w:r>
          </w:p>
        </w:tc>
        <w:tc>
          <w:tcPr>
            <w:tcW w:w="456" w:type="dxa"/>
            <w:vAlign w:val="center"/>
          </w:tcPr>
          <w:p w14:paraId="744F83A5">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55A0FFBE">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投标人所提供27、本地容灾硬件系统的“7.临床归档分布式存储”完全满足以下要求得2分，未满足任何一项要求的，不得分：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1）文件场景下，硬件设备包括保电内存、BBU、SSD 缓存、主存盘支持配置数据存储保护，NFS/CIFS/POSIX/MPI-IO/FTP/FTPS 等协议的文件数据在断电后数据能够继续保存，【需提供国家相关主管部门认可的检验检测机构出具的有效检验检测报告扫描件佐证（报告需盖有检验检测专用章或公章，带有CMA标识）】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2）支持对数字化病理、医疗PACS影像文件进行压缩，医疗PACS影像场景对比JPEG压缩率提升30%以上【需提供国家相关主管部门认可的检验检测机构出具的有效检验检测报告扫描件佐证（报告需盖有检验检测专用章或公章，带有CMA标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3）支持配置企业级 WORM，用户可以为文件设置保护期，在保护期内文件只能读取，不能修改或删除；WORM 保护策略支持时钟保护，修改系统时间后WORM 保护策略不失效【需提供国家相关主管部门认可的检验检测机构出具的有效检验检测报告扫描件佐证（报告需盖有检验检测专用章或公章，带有CMA标识）】</w:t>
            </w:r>
          </w:p>
        </w:tc>
      </w:tr>
      <w:tr w14:paraId="514E2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shd w:val="clear" w:color="auto" w:fill="auto"/>
            <w:vAlign w:val="center"/>
          </w:tcPr>
          <w:p w14:paraId="579D84DF">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1-51</w:t>
            </w:r>
          </w:p>
        </w:tc>
        <w:tc>
          <w:tcPr>
            <w:tcW w:w="576" w:type="dxa"/>
            <w:vAlign w:val="center"/>
          </w:tcPr>
          <w:p w14:paraId="29C14E45">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3501C14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758066CC">
            <w:pPr>
              <w:keepNext w:val="0"/>
              <w:keepLines w:val="0"/>
              <w:widowControl/>
              <w:suppressLineNumbers w:val="0"/>
              <w:jc w:val="left"/>
              <w:textAlignment w:val="center"/>
              <w:rPr>
                <w:rFonts w:hint="eastAsia" w:ascii="仿宋" w:hAnsi="仿宋" w:eastAsia="仿宋" w:cs="仿宋"/>
                <w:b w:val="0"/>
                <w:bCs w:val="0"/>
                <w:i w:val="0"/>
                <w:iCs w:val="0"/>
                <w:color w:val="000000"/>
                <w:kern w:val="0"/>
                <w:sz w:val="24"/>
                <w:szCs w:val="24"/>
                <w:highlight w:val="none"/>
                <w:u w:val="none"/>
                <w:lang w:val="en-US" w:eastAsia="zh-CN"/>
              </w:rPr>
            </w:pPr>
            <w:r>
              <w:rPr>
                <w:rFonts w:hint="eastAsia" w:ascii="仿宋" w:hAnsi="仿宋" w:eastAsia="仿宋" w:cs="仿宋"/>
                <w:b w:val="0"/>
                <w:bCs w:val="0"/>
                <w:i w:val="0"/>
                <w:iCs w:val="0"/>
                <w:color w:val="000000"/>
                <w:kern w:val="0"/>
                <w:sz w:val="24"/>
                <w:szCs w:val="24"/>
                <w:highlight w:val="none"/>
                <w:u w:val="none"/>
                <w:lang w:val="en-US" w:eastAsia="zh-CN"/>
              </w:rPr>
              <w:t>投标人需针对18、综合智慧管理平台（含BIM）进行评分，完全满足以下要求得0.5分，未满足任何一项要求的，不得分：</w:t>
            </w:r>
            <w:r>
              <w:rPr>
                <w:rFonts w:hint="eastAsia" w:ascii="仿宋" w:hAnsi="仿宋" w:eastAsia="仿宋" w:cs="仿宋"/>
                <w:b w:val="0"/>
                <w:bCs w:val="0"/>
                <w:i w:val="0"/>
                <w:iCs w:val="0"/>
                <w:color w:val="000000"/>
                <w:kern w:val="0"/>
                <w:sz w:val="24"/>
                <w:szCs w:val="24"/>
                <w:highlight w:val="none"/>
                <w:u w:val="none"/>
                <w:lang w:val="en-US" w:eastAsia="zh-CN"/>
              </w:rPr>
              <w:br w:type="textWrapping"/>
            </w:r>
            <w:r>
              <w:rPr>
                <w:rFonts w:hint="eastAsia" w:ascii="仿宋" w:hAnsi="仿宋" w:eastAsia="仿宋" w:cs="仿宋"/>
                <w:b w:val="0"/>
                <w:bCs w:val="0"/>
                <w:i w:val="0"/>
                <w:iCs w:val="0"/>
                <w:color w:val="000000"/>
                <w:kern w:val="0"/>
                <w:sz w:val="24"/>
                <w:szCs w:val="24"/>
                <w:highlight w:val="none"/>
                <w:u w:val="none"/>
                <w:lang w:val="en-US" w:eastAsia="zh-CN"/>
              </w:rPr>
              <w:t>1）物联网平台应具备图形化的操作界面，能够帮助用户在第一时间了解系统的运行状态，并提供服务的调用次数、事件推送信息、服务运行状态、定时任务调度状态等关键统计信息。投标人所提供证明截图需符合以下要求：图形化操作界面截图、调用次数截图、事件推送信息截图、服务运行状态截图、定时任务调度状态截图。</w:t>
            </w:r>
          </w:p>
          <w:p w14:paraId="5BDB170F">
            <w:pPr>
              <w:keepNext w:val="0"/>
              <w:keepLines w:val="0"/>
              <w:widowControl/>
              <w:suppressLineNumbers w:val="0"/>
              <w:jc w:val="left"/>
              <w:textAlignment w:val="center"/>
              <w:rPr>
                <w:rFonts w:hint="eastAsia" w:ascii="仿宋" w:hAnsi="仿宋" w:eastAsia="仿宋" w:cs="仿宋"/>
                <w:b w:val="0"/>
                <w:bCs w:val="0"/>
                <w:i w:val="0"/>
                <w:iCs w:val="0"/>
                <w:color w:val="000000"/>
                <w:kern w:val="2"/>
                <w:sz w:val="24"/>
                <w:szCs w:val="24"/>
                <w:highlight w:val="none"/>
                <w:u w:val="none"/>
                <w:lang w:val="en-US" w:eastAsia="zh-CN" w:bidi="ar-SA"/>
              </w:rPr>
            </w:pPr>
            <w:r>
              <w:rPr>
                <w:rFonts w:hint="eastAsia" w:ascii="仿宋" w:hAnsi="仿宋" w:eastAsia="仿宋" w:cs="仿宋"/>
                <w:b w:val="0"/>
                <w:bCs w:val="0"/>
                <w:i w:val="0"/>
                <w:iCs w:val="0"/>
                <w:color w:val="000000"/>
                <w:kern w:val="0"/>
                <w:sz w:val="24"/>
                <w:szCs w:val="24"/>
                <w:highlight w:val="none"/>
                <w:u w:val="none"/>
                <w:lang w:val="en-US" w:eastAsia="zh-CN"/>
              </w:rPr>
              <w:t>2）部门管理：用于管理用户的所属部门信息，以贴合实际业务场景下的管理需求。针对客户组织的架构体系，支持输入部门名称、状态、地址、电话、简介等信息，对部门信息进行新增、删除与编辑。投标人所提供证明截图需符合以下要求：部门管理功能界面截图、部门架构创建功能界面截图（界面截图应包含部门名称、状态、地址、电话、简介等信息）。</w:t>
            </w:r>
            <w:r>
              <w:rPr>
                <w:rFonts w:hint="eastAsia" w:ascii="仿宋" w:hAnsi="仿宋" w:eastAsia="仿宋" w:cs="仿宋"/>
                <w:b w:val="0"/>
                <w:bCs w:val="0"/>
                <w:i w:val="0"/>
                <w:iCs w:val="0"/>
                <w:color w:val="000000"/>
                <w:kern w:val="0"/>
                <w:sz w:val="24"/>
                <w:szCs w:val="24"/>
                <w:highlight w:val="none"/>
                <w:u w:val="none"/>
                <w:lang w:val="en-US" w:eastAsia="zh-CN"/>
              </w:rPr>
              <w:br w:type="textWrapping"/>
            </w:r>
            <w:r>
              <w:rPr>
                <w:rFonts w:hint="eastAsia" w:ascii="仿宋" w:hAnsi="仿宋" w:eastAsia="仿宋" w:cs="仿宋"/>
                <w:b w:val="0"/>
                <w:bCs w:val="0"/>
                <w:i w:val="0"/>
                <w:iCs w:val="0"/>
                <w:color w:val="000000"/>
                <w:kern w:val="0"/>
                <w:sz w:val="24"/>
                <w:szCs w:val="24"/>
                <w:highlight w:val="none"/>
                <w:u w:val="none"/>
                <w:lang w:val="en-US" w:eastAsia="zh-CN"/>
              </w:rPr>
              <w:t>3）</w:t>
            </w:r>
            <w:r>
              <w:rPr>
                <w:rFonts w:hint="eastAsia" w:ascii="仿宋" w:hAnsi="仿宋" w:eastAsia="仿宋" w:cs="仿宋"/>
                <w:color w:val="000000"/>
                <w:kern w:val="0"/>
                <w:sz w:val="24"/>
                <w:szCs w:val="24"/>
                <w:highlight w:val="none"/>
              </w:rPr>
              <w:t>物联网平台应</w:t>
            </w:r>
            <w:r>
              <w:rPr>
                <w:rFonts w:hint="eastAsia" w:ascii="仿宋" w:hAnsi="仿宋" w:eastAsia="仿宋" w:cs="仿宋"/>
                <w:b w:val="0"/>
                <w:bCs w:val="0"/>
                <w:i w:val="0"/>
                <w:iCs w:val="0"/>
                <w:color w:val="000000"/>
                <w:kern w:val="0"/>
                <w:sz w:val="24"/>
                <w:szCs w:val="24"/>
                <w:highlight w:val="none"/>
                <w:u w:val="none"/>
                <w:lang w:val="en-US" w:eastAsia="zh-CN"/>
              </w:rPr>
              <w:t>支持采用配置化的方式，对特定分类、特定品牌下的设备型号配置对应协议实例。协议实例可配置的数据包括协议名称、编号、BeanId、协议状态等，并支持基于协议编码、名称、设备分类、启停状态等进行查询。投标人所提供证明截图需符合以下要求：协议管理功能界面截图、协议实例可配置界面截图（界面截图应包含协议名称、编号、BeanId、协议状态等元素）、协议实例可查询界面截图（界面截图查询项包含协议编码、名称、设备分类、启停状态）。</w:t>
            </w:r>
          </w:p>
        </w:tc>
      </w:tr>
      <w:tr w14:paraId="491C7A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96" w:type="dxa"/>
            <w:shd w:val="clear" w:color="auto" w:fill="auto"/>
            <w:vAlign w:val="center"/>
          </w:tcPr>
          <w:p w14:paraId="406832CC">
            <w:pPr>
              <w:pStyle w:val="7"/>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1-52</w:t>
            </w:r>
          </w:p>
        </w:tc>
        <w:tc>
          <w:tcPr>
            <w:tcW w:w="576" w:type="dxa"/>
            <w:vAlign w:val="center"/>
          </w:tcPr>
          <w:p w14:paraId="15610851">
            <w:pPr>
              <w:keepNext w:val="0"/>
              <w:keepLines w:val="0"/>
              <w:widowControl/>
              <w:suppressLineNumbers w:val="0"/>
              <w:jc w:val="center"/>
              <w:textAlignment w:val="center"/>
              <w:rPr>
                <w:rFonts w:hint="eastAsia" w:ascii="仿宋" w:hAnsi="仿宋" w:eastAsia="仿宋" w:cs="仿宋"/>
                <w:sz w:val="24"/>
                <w:szCs w:val="24"/>
                <w:highlight w:val="none"/>
                <w:lang w:val="en-US"/>
              </w:rPr>
            </w:pPr>
            <w:r>
              <w:rPr>
                <w:rFonts w:hint="eastAsia" w:ascii="仿宋" w:hAnsi="仿宋" w:eastAsia="仿宋" w:cs="仿宋"/>
                <w:i w:val="0"/>
                <w:iCs w:val="0"/>
                <w:color w:val="000000"/>
                <w:kern w:val="0"/>
                <w:sz w:val="24"/>
                <w:szCs w:val="24"/>
                <w:highlight w:val="none"/>
                <w:u w:val="none"/>
                <w:lang w:val="en-US" w:eastAsia="zh-CN"/>
              </w:rPr>
              <w:t>0.5</w:t>
            </w:r>
          </w:p>
        </w:tc>
        <w:tc>
          <w:tcPr>
            <w:tcW w:w="456" w:type="dxa"/>
            <w:vAlign w:val="center"/>
          </w:tcPr>
          <w:p w14:paraId="108DF36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是</w:t>
            </w:r>
          </w:p>
        </w:tc>
        <w:tc>
          <w:tcPr>
            <w:tcW w:w="6794" w:type="dxa"/>
            <w:shd w:val="clear" w:color="auto" w:fill="FFFFFF"/>
            <w:vAlign w:val="center"/>
          </w:tcPr>
          <w:p w14:paraId="1397A290">
            <w:pPr>
              <w:keepNext w:val="0"/>
              <w:keepLines w:val="0"/>
              <w:widowControl/>
              <w:suppressLineNumbers w:val="0"/>
              <w:jc w:val="left"/>
              <w:textAlignment w:val="center"/>
              <w:rPr>
                <w:rFonts w:hint="eastAsia" w:ascii="仿宋" w:hAnsi="仿宋" w:eastAsia="仿宋" w:cs="仿宋"/>
                <w:i w:val="0"/>
                <w:iCs w:val="0"/>
                <w:color w:val="000000"/>
                <w:kern w:val="2"/>
                <w:sz w:val="24"/>
                <w:szCs w:val="24"/>
                <w:highlight w:val="none"/>
                <w:u w:val="none"/>
                <w:lang w:val="en-US" w:eastAsia="zh-CN" w:bidi="ar-SA"/>
              </w:rPr>
            </w:pPr>
            <w:r>
              <w:rPr>
                <w:rFonts w:hint="eastAsia" w:ascii="仿宋" w:hAnsi="仿宋" w:eastAsia="仿宋" w:cs="仿宋"/>
                <w:i w:val="0"/>
                <w:iCs w:val="0"/>
                <w:color w:val="000000"/>
                <w:kern w:val="0"/>
                <w:sz w:val="24"/>
                <w:szCs w:val="24"/>
                <w:highlight w:val="none"/>
                <w:u w:val="none"/>
                <w:lang w:val="en-US" w:eastAsia="zh-CN"/>
              </w:rPr>
              <w:t>投标人需针18、综合智慧管理平台（含BIM）进行评分，完全满足以下要求得0.5分，未满足任何一项要求的，不得分：</w:t>
            </w:r>
            <w:r>
              <w:rPr>
                <w:rFonts w:hint="eastAsia" w:ascii="仿宋" w:hAnsi="仿宋" w:eastAsia="仿宋" w:cs="仿宋"/>
                <w:i w:val="0"/>
                <w:iCs w:val="0"/>
                <w:color w:val="000000"/>
                <w:kern w:val="0"/>
                <w:sz w:val="24"/>
                <w:szCs w:val="24"/>
                <w:highlight w:val="none"/>
                <w:u w:val="none"/>
                <w:lang w:val="en-US" w:eastAsia="zh-CN"/>
              </w:rPr>
              <w:br w:type="textWrapping"/>
            </w:r>
            <w:r>
              <w:rPr>
                <w:rFonts w:hint="eastAsia" w:ascii="仿宋" w:hAnsi="仿宋" w:eastAsia="仿宋" w:cs="仿宋"/>
                <w:i w:val="0"/>
                <w:iCs w:val="0"/>
                <w:color w:val="000000"/>
                <w:kern w:val="0"/>
                <w:sz w:val="24"/>
                <w:szCs w:val="24"/>
                <w:highlight w:val="none"/>
                <w:u w:val="none"/>
                <w:lang w:val="en-US" w:eastAsia="zh-CN"/>
              </w:rPr>
              <w:t xml:space="preserve">1）中屏端 </w:t>
            </w:r>
            <w:r>
              <w:rPr>
                <w:rFonts w:hint="eastAsia" w:ascii="仿宋" w:hAnsi="仿宋" w:eastAsia="仿宋" w:cs="仿宋"/>
                <w:color w:val="000000"/>
                <w:kern w:val="0"/>
                <w:sz w:val="24"/>
                <w:szCs w:val="24"/>
                <w:highlight w:val="none"/>
              </w:rPr>
              <w:t>平台配置功能</w:t>
            </w:r>
            <w:r>
              <w:rPr>
                <w:rFonts w:hint="eastAsia" w:ascii="仿宋" w:hAnsi="仿宋" w:eastAsia="仿宋" w:cs="仿宋"/>
                <w:i w:val="0"/>
                <w:iCs w:val="0"/>
                <w:color w:val="000000"/>
                <w:kern w:val="0"/>
                <w:sz w:val="24"/>
                <w:szCs w:val="24"/>
                <w:highlight w:val="none"/>
                <w:u w:val="none"/>
                <w:lang w:val="en-US" w:eastAsia="zh-CN"/>
              </w:rPr>
              <w:t>：平台首页应具备配置能力，支持首页模块化处理，客户可根据日常运营管理习惯，对日常使用功能进行排序整理，平台支持模块增加和删除等功能，可对各个模块进行拖拉等自定义排序，便于运营管理人员日常使用。页面支持1、4、9个子系统的布局，简单直观的显示重点智能化设备的日常状态。支持至少三种及以上的界面风格切换。投标人所提供证明截图需符合以下要求：首页模块化处理、功能排序整理、模块增加和删除、模块拖拉自定义排序截图、首页子系统布局支持1、4、9三种不同数量布局展示重点智能化设备的日常状态截图、三种及以上界面切换截图。</w:t>
            </w:r>
          </w:p>
        </w:tc>
      </w:tr>
    </w:tbl>
    <w:p w14:paraId="410DBEA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商务项（F3×A3）满分为</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.00分</w:t>
      </w:r>
    </w:p>
    <w:tbl>
      <w:tblPr>
        <w:tblStyle w:val="4"/>
        <w:tblW w:w="86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4"/>
        <w:gridCol w:w="843"/>
        <w:gridCol w:w="792"/>
        <w:gridCol w:w="6059"/>
      </w:tblGrid>
      <w:tr w14:paraId="6F1C5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5" w:hRule="atLeast"/>
        </w:trPr>
        <w:tc>
          <w:tcPr>
            <w:tcW w:w="924" w:type="dxa"/>
          </w:tcPr>
          <w:p w14:paraId="4E5E72FE">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项目</w:t>
            </w:r>
          </w:p>
        </w:tc>
        <w:tc>
          <w:tcPr>
            <w:tcW w:w="843" w:type="dxa"/>
          </w:tcPr>
          <w:p w14:paraId="7C6D4589">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分值</w:t>
            </w:r>
          </w:p>
        </w:tc>
        <w:tc>
          <w:tcPr>
            <w:tcW w:w="792" w:type="dxa"/>
          </w:tcPr>
          <w:p w14:paraId="035FC6DE">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是否客观项</w:t>
            </w:r>
          </w:p>
        </w:tc>
        <w:tc>
          <w:tcPr>
            <w:tcW w:w="6059" w:type="dxa"/>
          </w:tcPr>
          <w:p w14:paraId="3C522E1D">
            <w:pPr>
              <w:pStyle w:val="7"/>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描述</w:t>
            </w:r>
          </w:p>
        </w:tc>
      </w:tr>
      <w:tr w14:paraId="3BC2A9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45" w:hRule="atLeast"/>
        </w:trPr>
        <w:tc>
          <w:tcPr>
            <w:tcW w:w="924" w:type="dxa"/>
            <w:vAlign w:val="center"/>
          </w:tcPr>
          <w:p w14:paraId="0A4032B4">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w:t>
            </w:r>
          </w:p>
        </w:tc>
        <w:tc>
          <w:tcPr>
            <w:tcW w:w="843" w:type="dxa"/>
            <w:vAlign w:val="center"/>
          </w:tcPr>
          <w:p w14:paraId="2696AA0E">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1</w:t>
            </w:r>
          </w:p>
        </w:tc>
        <w:tc>
          <w:tcPr>
            <w:tcW w:w="792" w:type="dxa"/>
            <w:vAlign w:val="center"/>
          </w:tcPr>
          <w:p w14:paraId="0C58096E">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6FB18530">
            <w:pPr>
              <w:keepNext w:val="0"/>
              <w:keepLines w:val="0"/>
              <w:widowControl/>
              <w:suppressLineNumbers w:val="0"/>
              <w:jc w:val="both"/>
              <w:textAlignment w:val="center"/>
              <w:rPr>
                <w:rFonts w:hint="eastAsia" w:ascii="仿宋" w:hAnsi="仿宋" w:eastAsia="仿宋" w:cs="仿宋"/>
                <w:color w:val="auto"/>
                <w:sz w:val="24"/>
                <w:szCs w:val="24"/>
                <w:highlight w:val="none"/>
              </w:rPr>
            </w:pPr>
            <w:r>
              <w:rPr>
                <w:rStyle w:val="8"/>
                <w:rFonts w:hint="eastAsia" w:ascii="仿宋" w:hAnsi="仿宋" w:eastAsia="仿宋" w:cs="仿宋"/>
                <w:color w:val="auto"/>
                <w:highlight w:val="none"/>
                <w:lang w:val="en-US" w:eastAsia="zh-CN"/>
              </w:rPr>
              <w:t>投标人具有</w:t>
            </w:r>
            <w:r>
              <w:rPr>
                <w:rStyle w:val="9"/>
                <w:rFonts w:hint="eastAsia" w:ascii="仿宋" w:hAnsi="仿宋" w:eastAsia="仿宋" w:cs="仿宋"/>
                <w:color w:val="auto"/>
                <w:highlight w:val="none"/>
                <w:lang w:val="en-US" w:eastAsia="zh-CN"/>
              </w:rPr>
              <w:t>信息技术服务管理体系认证证书</w:t>
            </w:r>
            <w:r>
              <w:rPr>
                <w:rStyle w:val="8"/>
                <w:rFonts w:hint="eastAsia" w:ascii="仿宋" w:hAnsi="仿宋" w:eastAsia="仿宋" w:cs="仿宋"/>
                <w:color w:val="auto"/>
                <w:highlight w:val="none"/>
                <w:lang w:val="en-US" w:eastAsia="zh-CN"/>
              </w:rPr>
              <w:t>、信息安全管理体系认证证书的，每个得0.5分，满分1分。需提供相关证书扫描件，否则不得分。</w:t>
            </w:r>
          </w:p>
        </w:tc>
      </w:tr>
      <w:tr w14:paraId="02F1CF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trPr>
        <w:tc>
          <w:tcPr>
            <w:tcW w:w="924" w:type="dxa"/>
            <w:vAlign w:val="center"/>
          </w:tcPr>
          <w:p w14:paraId="068A352E">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w:t>
            </w:r>
          </w:p>
        </w:tc>
        <w:tc>
          <w:tcPr>
            <w:tcW w:w="843" w:type="dxa"/>
            <w:vAlign w:val="center"/>
          </w:tcPr>
          <w:p w14:paraId="4FB4C6A8">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1</w:t>
            </w:r>
          </w:p>
        </w:tc>
        <w:tc>
          <w:tcPr>
            <w:tcW w:w="792" w:type="dxa"/>
            <w:vAlign w:val="center"/>
          </w:tcPr>
          <w:p w14:paraId="5F00CEA9">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07AA3215">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投标人具有信息系统建设和服务能力CS4级及以上资质证书的得1分，需提供相关证书扫描件，否则不得分。</w:t>
            </w:r>
          </w:p>
        </w:tc>
      </w:tr>
      <w:tr w14:paraId="698E87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05" w:hRule="atLeast"/>
        </w:trPr>
        <w:tc>
          <w:tcPr>
            <w:tcW w:w="924" w:type="dxa"/>
            <w:vAlign w:val="center"/>
          </w:tcPr>
          <w:p w14:paraId="7AB2DFB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p>
        </w:tc>
        <w:tc>
          <w:tcPr>
            <w:tcW w:w="843" w:type="dxa"/>
            <w:vAlign w:val="center"/>
          </w:tcPr>
          <w:p w14:paraId="0E5277EE">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3</w:t>
            </w:r>
          </w:p>
        </w:tc>
        <w:tc>
          <w:tcPr>
            <w:tcW w:w="792" w:type="dxa"/>
            <w:vAlign w:val="center"/>
          </w:tcPr>
          <w:p w14:paraId="4F9471B2">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1B98FA34">
            <w:pPr>
              <w:keepNext w:val="0"/>
              <w:keepLines w:val="0"/>
              <w:widowControl/>
              <w:suppressLineNumbers w:val="0"/>
              <w:jc w:val="both"/>
              <w:textAlignment w:val="center"/>
              <w:rPr>
                <w:rFonts w:hint="eastAsia" w:ascii="仿宋" w:hAnsi="仿宋" w:eastAsia="仿宋" w:cs="仿宋"/>
                <w:color w:val="auto"/>
                <w:sz w:val="24"/>
                <w:szCs w:val="24"/>
                <w:highlight w:val="none"/>
              </w:rPr>
            </w:pPr>
            <w:r>
              <w:rPr>
                <w:rStyle w:val="10"/>
                <w:rFonts w:hint="eastAsia" w:ascii="仿宋" w:hAnsi="仿宋" w:eastAsia="仿宋" w:cs="仿宋"/>
                <w:color w:val="auto"/>
                <w:highlight w:val="none"/>
                <w:lang w:val="en-US" w:eastAsia="zh-CN"/>
              </w:rPr>
              <w:t>投标人投入本项目的项目负责人具有①机电工程专业一级注册建造师证书、②高级工程师职称证书，③ITSS-IT服务项目经理证书，提供相关证书扫描件及社保证明，完全满足得3分，否则不得分。</w:t>
            </w:r>
            <w:r>
              <w:rPr>
                <w:rStyle w:val="11"/>
                <w:rFonts w:hint="eastAsia" w:ascii="仿宋" w:hAnsi="仿宋" w:eastAsia="仿宋" w:cs="仿宋"/>
                <w:color w:val="auto"/>
                <w:highlight w:val="none"/>
                <w:lang w:val="en-US" w:eastAsia="zh-CN"/>
              </w:rPr>
              <w:t>（人员不得重复得分）</w:t>
            </w:r>
          </w:p>
        </w:tc>
      </w:tr>
      <w:tr w14:paraId="5CF4C5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9" w:hRule="atLeast"/>
        </w:trPr>
        <w:tc>
          <w:tcPr>
            <w:tcW w:w="924" w:type="dxa"/>
            <w:vAlign w:val="center"/>
          </w:tcPr>
          <w:p w14:paraId="24A1226B">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w:t>
            </w:r>
          </w:p>
        </w:tc>
        <w:tc>
          <w:tcPr>
            <w:tcW w:w="843" w:type="dxa"/>
            <w:vAlign w:val="center"/>
          </w:tcPr>
          <w:p w14:paraId="13F17DF6">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3</w:t>
            </w:r>
          </w:p>
        </w:tc>
        <w:tc>
          <w:tcPr>
            <w:tcW w:w="792" w:type="dxa"/>
            <w:vAlign w:val="center"/>
          </w:tcPr>
          <w:p w14:paraId="662410FE">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09D2461E">
            <w:pPr>
              <w:keepNext w:val="0"/>
              <w:keepLines w:val="0"/>
              <w:widowControl/>
              <w:suppressLineNumbers w:val="0"/>
              <w:jc w:val="both"/>
              <w:textAlignment w:val="center"/>
              <w:rPr>
                <w:rFonts w:hint="eastAsia" w:ascii="仿宋" w:hAnsi="仿宋" w:eastAsia="仿宋" w:cs="仿宋"/>
                <w:color w:val="auto"/>
                <w:sz w:val="24"/>
                <w:szCs w:val="24"/>
                <w:highlight w:val="none"/>
              </w:rPr>
            </w:pPr>
            <w:r>
              <w:rPr>
                <w:rStyle w:val="10"/>
                <w:rFonts w:hint="eastAsia" w:ascii="仿宋" w:hAnsi="仿宋" w:eastAsia="仿宋" w:cs="仿宋"/>
                <w:color w:val="auto"/>
                <w:highlight w:val="none"/>
                <w:lang w:val="en-US" w:eastAsia="zh-CN"/>
              </w:rPr>
              <w:t>投标人投入本项目的技术负责人具有①计算机技术与软件专业技术资格高级证书（专业：信息系统项目管理师）、②机电工程专业一级注册建造师证书</w:t>
            </w:r>
            <w:r>
              <w:rPr>
                <w:rStyle w:val="9"/>
                <w:rFonts w:hint="eastAsia" w:ascii="仿宋" w:hAnsi="仿宋" w:eastAsia="仿宋" w:cs="仿宋"/>
                <w:color w:val="auto"/>
                <w:highlight w:val="none"/>
                <w:lang w:val="en-US" w:eastAsia="zh-CN"/>
              </w:rPr>
              <w:t>、</w:t>
            </w:r>
            <w:r>
              <w:rPr>
                <w:rStyle w:val="10"/>
                <w:rFonts w:hint="eastAsia" w:ascii="仿宋" w:hAnsi="仿宋" w:eastAsia="仿宋" w:cs="仿宋"/>
                <w:color w:val="auto"/>
                <w:highlight w:val="none"/>
                <w:lang w:val="en-US" w:eastAsia="zh-CN"/>
              </w:rPr>
              <w:t>③注册信息安全管理人员CISO证书，提供相关证书扫描件及社保证明，完全满足得3分，否则不得分。</w:t>
            </w:r>
          </w:p>
        </w:tc>
      </w:tr>
      <w:tr w14:paraId="49CF4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1" w:hRule="atLeast"/>
        </w:trPr>
        <w:tc>
          <w:tcPr>
            <w:tcW w:w="924" w:type="dxa"/>
            <w:vAlign w:val="center"/>
          </w:tcPr>
          <w:p w14:paraId="594B7FD3">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w:t>
            </w:r>
          </w:p>
        </w:tc>
        <w:tc>
          <w:tcPr>
            <w:tcW w:w="843" w:type="dxa"/>
            <w:vAlign w:val="center"/>
          </w:tcPr>
          <w:p w14:paraId="6101E2DD">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2</w:t>
            </w:r>
          </w:p>
        </w:tc>
        <w:tc>
          <w:tcPr>
            <w:tcW w:w="792" w:type="dxa"/>
            <w:vAlign w:val="center"/>
          </w:tcPr>
          <w:p w14:paraId="0090BB77">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否</w:t>
            </w:r>
          </w:p>
        </w:tc>
        <w:tc>
          <w:tcPr>
            <w:tcW w:w="6059" w:type="dxa"/>
            <w:vAlign w:val="center"/>
          </w:tcPr>
          <w:p w14:paraId="62136225">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根据投标人投入本项目实施团队人员（项目负责人、技术负责人除外）进行评分：具有①计算机技术与软件专业技术资格高级证书（专业：信息系统项目管理师）及工程师（及以上）职称证书1人，得1分；②高级工程师职称证书及ITSS-IT服务工程师证书1人，得1分；满分2分，提供相关证书扫描件及社保证明），否则不得分。</w:t>
            </w:r>
          </w:p>
        </w:tc>
      </w:tr>
      <w:tr w14:paraId="26978E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25" w:hRule="atLeast"/>
        </w:trPr>
        <w:tc>
          <w:tcPr>
            <w:tcW w:w="924" w:type="dxa"/>
            <w:vAlign w:val="center"/>
          </w:tcPr>
          <w:p w14:paraId="193A1200">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w:t>
            </w:r>
          </w:p>
        </w:tc>
        <w:tc>
          <w:tcPr>
            <w:tcW w:w="843" w:type="dxa"/>
            <w:vAlign w:val="center"/>
          </w:tcPr>
          <w:p w14:paraId="7D4B7DA7">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1</w:t>
            </w:r>
          </w:p>
        </w:tc>
        <w:tc>
          <w:tcPr>
            <w:tcW w:w="792" w:type="dxa"/>
            <w:vAlign w:val="center"/>
          </w:tcPr>
          <w:p w14:paraId="280495DC">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4CEEE2F8">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投标人可提供厦门本地化售后服务的得1分，否则不得分。投标人可提供合作单位协议或者自身机构的营业执照证明，也可以提供在本地设立的项目部、办公室、办事处等机构证明，或者承诺中标后提供本地化服务。</w:t>
            </w:r>
          </w:p>
        </w:tc>
      </w:tr>
      <w:tr w14:paraId="58E7A0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85" w:hRule="atLeast"/>
        </w:trPr>
        <w:tc>
          <w:tcPr>
            <w:tcW w:w="924" w:type="dxa"/>
            <w:vAlign w:val="center"/>
          </w:tcPr>
          <w:p w14:paraId="6E2D84E0">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w:t>
            </w:r>
          </w:p>
        </w:tc>
        <w:tc>
          <w:tcPr>
            <w:tcW w:w="843" w:type="dxa"/>
            <w:vAlign w:val="center"/>
          </w:tcPr>
          <w:p w14:paraId="1B7996C9">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1</w:t>
            </w:r>
          </w:p>
        </w:tc>
        <w:tc>
          <w:tcPr>
            <w:tcW w:w="792" w:type="dxa"/>
            <w:vAlign w:val="center"/>
          </w:tcPr>
          <w:p w14:paraId="02FA9885">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19C62CD5">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根据投标人的售后服务方案进行评价： ①有根据招标要求制定售后服务方案的得0.5分；②在满足①的基础上，对售后服务团队、售后服务流程、备品备件储备等有具体的阐述，能够及时响应，确保不影响采购人医疗业务的正常开展的得1分；③未提供或不符合上述情形的不得分。</w:t>
            </w:r>
          </w:p>
        </w:tc>
      </w:tr>
      <w:tr w14:paraId="79C072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2" w:hRule="atLeast"/>
        </w:trPr>
        <w:tc>
          <w:tcPr>
            <w:tcW w:w="924" w:type="dxa"/>
            <w:vAlign w:val="center"/>
          </w:tcPr>
          <w:p w14:paraId="583CA639">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2-8</w:t>
            </w:r>
          </w:p>
        </w:tc>
        <w:tc>
          <w:tcPr>
            <w:tcW w:w="843" w:type="dxa"/>
            <w:vAlign w:val="center"/>
          </w:tcPr>
          <w:p w14:paraId="3EC30029">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1</w:t>
            </w:r>
          </w:p>
        </w:tc>
        <w:tc>
          <w:tcPr>
            <w:tcW w:w="792" w:type="dxa"/>
            <w:vAlign w:val="center"/>
          </w:tcPr>
          <w:p w14:paraId="789CF4E6">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4F116429">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根据2020年1月1日（以合同签订时间为准）以来的类似业绩进行评价：每个业绩得0.5分，满分1分。 注：（1）类似业绩是指：投标人承担的智能化项目（至少同时包含综合布线系统、机房、计算机网络系统等）业绩。 （2）需提供业绩的以下四项证明材料，否则不计分： ①中标（成交）公告（提供相关网站中标（成交）公告的下载网页并注明网址）； ②中标（成交）通知书； ③采购合同文本； ④能够证明该业绩项目已经采购人验收合格的相关证明材料。 （3）若以上证明材料无法体现业绩范围的，还需提供相应证明（如业主单位出具的证明等）。</w:t>
            </w:r>
          </w:p>
        </w:tc>
      </w:tr>
      <w:tr w14:paraId="63E37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05" w:hRule="atLeast"/>
        </w:trPr>
        <w:tc>
          <w:tcPr>
            <w:tcW w:w="924" w:type="dxa"/>
            <w:vAlign w:val="center"/>
          </w:tcPr>
          <w:p w14:paraId="4B02103A">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w:t>
            </w:r>
          </w:p>
        </w:tc>
        <w:tc>
          <w:tcPr>
            <w:tcW w:w="843" w:type="dxa"/>
            <w:vAlign w:val="center"/>
          </w:tcPr>
          <w:p w14:paraId="50208263">
            <w:pPr>
              <w:keepNext w:val="0"/>
              <w:keepLines w:val="0"/>
              <w:widowControl/>
              <w:suppressLineNumbers w:val="0"/>
              <w:jc w:val="center"/>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2</w:t>
            </w:r>
          </w:p>
        </w:tc>
        <w:tc>
          <w:tcPr>
            <w:tcW w:w="792" w:type="dxa"/>
            <w:vAlign w:val="center"/>
          </w:tcPr>
          <w:p w14:paraId="12D14471">
            <w:pPr>
              <w:pStyle w:val="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w:t>
            </w:r>
          </w:p>
        </w:tc>
        <w:tc>
          <w:tcPr>
            <w:tcW w:w="6059" w:type="dxa"/>
            <w:vAlign w:val="center"/>
          </w:tcPr>
          <w:p w14:paraId="079ACD23">
            <w:pPr>
              <w:keepNext w:val="0"/>
              <w:keepLines w:val="0"/>
              <w:widowControl/>
              <w:suppressLineNumbers w:val="0"/>
              <w:jc w:val="both"/>
              <w:textAlignment w:val="center"/>
              <w:rPr>
                <w:rFonts w:hint="eastAsia" w:ascii="仿宋" w:hAnsi="仿宋" w:eastAsia="仿宋" w:cs="仿宋"/>
                <w:color w:val="auto"/>
                <w:sz w:val="24"/>
                <w:szCs w:val="24"/>
                <w:highlight w:val="none"/>
              </w:rPr>
            </w:pPr>
            <w:r>
              <w:rPr>
                <w:rFonts w:hint="eastAsia" w:ascii="仿宋" w:hAnsi="仿宋" w:eastAsia="仿宋" w:cs="仿宋"/>
                <w:i w:val="0"/>
                <w:iCs w:val="0"/>
                <w:color w:val="auto"/>
                <w:kern w:val="0"/>
                <w:sz w:val="24"/>
                <w:szCs w:val="24"/>
                <w:highlight w:val="none"/>
                <w:u w:val="none"/>
                <w:lang w:val="en-US" w:eastAsia="zh-CN"/>
              </w:rPr>
              <w:t>根据投标人2020年1月1日以来（以招标人/建设单位出具的好评证明材料的时间为准）智能化或信息化项目获得招标人/建设单位好评情况进行评价：每提供1个上述好评得0.5分，满分2分，提供有效的招标人/建设单位盖公章的好评证明材料扫描件，否则不得分。</w:t>
            </w:r>
          </w:p>
        </w:tc>
      </w:tr>
    </w:tbl>
    <w:p w14:paraId="5172372A">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※除本章第6.3条第（3）款规定情形和落实政府采购政策需进行的价格扣除情形外，不能对投标人的投标报价进行任何调整。</w:t>
      </w:r>
    </w:p>
    <w:p w14:paraId="25E1A5A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（3）中标候选人排列规则顺序如下：</w:t>
      </w:r>
    </w:p>
    <w:p w14:paraId="2857E3EF">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a.按照评标总得分（FA）由高到低顺序排列。</w:t>
      </w:r>
    </w:p>
    <w:p w14:paraId="5FC10FD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b.评标总得分（FA）相同的，按照评标价（即价格扣除后的投标报价）由低到高顺序排列。</w:t>
      </w:r>
    </w:p>
    <w:p w14:paraId="56BD745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c.评标总得分（FA）且评标价（即价格扣除后的投标报价）相同的并列。</w:t>
      </w:r>
    </w:p>
    <w:p w14:paraId="0549D5D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8、其他规定</w:t>
      </w:r>
    </w:p>
    <w:p w14:paraId="6D84277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8.1评标应全程保密且不得透露给任一投标人或与评标工作无关的人员。</w:t>
      </w:r>
    </w:p>
    <w:p w14:paraId="0FA36BB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8.2评标将进行全程实时录音录像，录音录像资料随采购文件一并存档。</w:t>
      </w:r>
    </w:p>
    <w:p w14:paraId="5339B72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8.3若投标人有任何试图干扰具体评标事务，影响评标委员会独立履行职责的行为，其投标无效且不予退还投标保证金或通过投标保函进行索赔。情节严重的，由财政部门列入不良行为记录。</w:t>
      </w:r>
    </w:p>
    <w:p w14:paraId="5924E68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8.4其他：</w:t>
      </w:r>
      <w:r>
        <w:rPr>
          <w:rFonts w:hint="eastAsia" w:ascii="仿宋" w:hAnsi="仿宋" w:eastAsia="仿宋" w:cs="仿宋"/>
          <w:sz w:val="24"/>
          <w:szCs w:val="24"/>
          <w:highlight w:val="none"/>
          <w:lang w:val="en-US" w:eastAsia="zh-CN"/>
        </w:rPr>
        <w:t>无</w:t>
      </w:r>
      <w:r>
        <w:rPr>
          <w:rFonts w:hint="eastAsia" w:ascii="仿宋" w:hAnsi="仿宋" w:eastAsia="仿宋" w:cs="仿宋"/>
          <w:sz w:val="24"/>
          <w:szCs w:val="24"/>
          <w:highlight w:val="none"/>
        </w:rPr>
        <w:br w:type="page"/>
      </w:r>
    </w:p>
    <w:p w14:paraId="7742C945">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第五章 招标内容及要求</w:t>
      </w:r>
    </w:p>
    <w:p w14:paraId="69EA42C5">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一、项目概况（采购标的）</w:t>
      </w:r>
    </w:p>
    <w:p w14:paraId="101BA096">
      <w:pPr>
        <w:pStyle w:val="7"/>
        <w:ind w:firstLine="425"/>
        <w:jc w:val="both"/>
        <w:rPr>
          <w:rFonts w:hint="eastAsia" w:ascii="仿宋" w:hAnsi="仿宋" w:eastAsia="仿宋" w:cs="仿宋"/>
          <w:sz w:val="24"/>
          <w:szCs w:val="24"/>
          <w:highlight w:val="none"/>
        </w:rPr>
      </w:pPr>
      <w:r>
        <w:rPr>
          <w:rFonts w:hint="eastAsia" w:ascii="仿宋" w:hAnsi="仿宋" w:eastAsia="仿宋" w:cs="仿宋"/>
          <w:b w:val="0"/>
          <w:bCs/>
          <w:sz w:val="24"/>
          <w:szCs w:val="24"/>
          <w:highlight w:val="none"/>
        </w:rPr>
        <w:t>1</w:t>
      </w:r>
      <w:r>
        <w:rPr>
          <w:rFonts w:hint="eastAsia" w:ascii="仿宋" w:hAnsi="仿宋" w:eastAsia="仿宋" w:cs="仿宋"/>
          <w:b w:val="0"/>
          <w:bCs/>
          <w:sz w:val="24"/>
          <w:szCs w:val="24"/>
          <w:highlight w:val="none"/>
          <w:lang w:eastAsia="zh-CN"/>
        </w:rPr>
        <w:t>、</w:t>
      </w:r>
      <w:r>
        <w:rPr>
          <w:rFonts w:hint="eastAsia" w:ascii="仿宋" w:hAnsi="仿宋" w:eastAsia="仿宋" w:cs="仿宋"/>
          <w:sz w:val="24"/>
          <w:szCs w:val="24"/>
          <w:highlight w:val="none"/>
          <w:lang w:val="en-US" w:eastAsia="zh-CN"/>
        </w:rPr>
        <w:t>项目名称：</w:t>
      </w:r>
      <w:r>
        <w:rPr>
          <w:rFonts w:hint="eastAsia" w:ascii="仿宋" w:hAnsi="仿宋" w:eastAsia="仿宋" w:cs="仿宋"/>
          <w:sz w:val="24"/>
          <w:szCs w:val="24"/>
          <w:highlight w:val="none"/>
        </w:rPr>
        <w:t>国家心血管医学研究分中心医疗信息化智能化设备采购项目</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具体范围详见编制说明和清单，投标人须负责本项目的产品供货、安装调试、配合验收及售后服务等。</w:t>
      </w:r>
    </w:p>
    <w:p w14:paraId="3558FA47">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招标文件附件</w:t>
      </w:r>
    </w:p>
    <w:p w14:paraId="46A42A27">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.1本项目提供以下附件，作为招标文件的组成部分：</w:t>
      </w:r>
    </w:p>
    <w:p w14:paraId="0511E317">
      <w:pPr>
        <w:pStyle w:val="7"/>
        <w:ind w:left="855"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（1）附件1：工程量清单</w:t>
      </w:r>
      <w:r>
        <w:rPr>
          <w:rFonts w:hint="eastAsia" w:ascii="仿宋" w:hAnsi="仿宋" w:eastAsia="仿宋" w:cs="仿宋"/>
          <w:sz w:val="24"/>
          <w:szCs w:val="24"/>
          <w:highlight w:val="none"/>
          <w:lang w:eastAsia="zh-CN"/>
        </w:rPr>
        <w:t>；</w:t>
      </w:r>
    </w:p>
    <w:p w14:paraId="4F5C3ECD">
      <w:pPr>
        <w:pStyle w:val="7"/>
        <w:ind w:left="855"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（2）附件2：图纸</w:t>
      </w:r>
      <w:r>
        <w:rPr>
          <w:rFonts w:hint="eastAsia" w:ascii="仿宋" w:hAnsi="仿宋" w:eastAsia="仿宋" w:cs="仿宋"/>
          <w:sz w:val="24"/>
          <w:szCs w:val="24"/>
          <w:highlight w:val="none"/>
          <w:lang w:eastAsia="zh-CN"/>
        </w:rPr>
        <w:t>；</w:t>
      </w:r>
    </w:p>
    <w:p w14:paraId="5C31196E">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2关于货物设备的技术参数要求，若附件要求与招标文件不一致时，以招标文件的要求为准。</w:t>
      </w:r>
    </w:p>
    <w:p w14:paraId="1496D67A">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3若清单内容与图纸内容不一致时，以图纸内容为准。因图纸未完全反映工程量，投标人应根据采购人的实际要求及现场踏勘结果进行报价，投标人应充分考虑招标文件及工程量清单中的遗漏项目，并在投标文件中提出，投标报价应包含所有遗漏项目的一切费用。中标后除采购人提出变更外，不再调整合同金额，投标人须充分考虑该因素。</w:t>
      </w:r>
    </w:p>
    <w:p w14:paraId="73C9AB49">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4若招标文件的内容与附件的内容发生冲突，则以招标文件的内容解释为准。招标文件未体现的内容，若图纸有体现，则以图纸的内容解释为准。因图纸未完全反映施工量，故图纸未体现的内容，工程量清单有体现的，以工程量清单为准进行报价，实际施工中若未发生，则未发生部分不予结算。</w:t>
      </w:r>
    </w:p>
    <w:p w14:paraId="2050D4E5">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.5中标人在</w:t>
      </w:r>
      <w:r>
        <w:rPr>
          <w:rFonts w:hint="eastAsia" w:ascii="仿宋" w:hAnsi="仿宋" w:eastAsia="仿宋" w:cs="仿宋"/>
          <w:sz w:val="24"/>
          <w:szCs w:val="24"/>
          <w:highlight w:val="none"/>
          <w:lang w:eastAsia="zh-CN"/>
        </w:rPr>
        <w:t>进场前</w:t>
      </w:r>
      <w:r>
        <w:rPr>
          <w:rFonts w:hint="eastAsia" w:ascii="仿宋" w:hAnsi="仿宋" w:eastAsia="仿宋" w:cs="仿宋"/>
          <w:sz w:val="24"/>
          <w:szCs w:val="24"/>
          <w:highlight w:val="none"/>
        </w:rPr>
        <w:t>应与采购人确认方案后方可进行投入施工。</w:t>
      </w:r>
    </w:p>
    <w:p w14:paraId="3935A32B">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二、技术和服务要求（以“★”标示的内容为不允许负偏离的实质性要求）</w:t>
      </w:r>
    </w:p>
    <w:p w14:paraId="561FDA8D">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2.招标清单及要求</w:t>
      </w:r>
    </w:p>
    <w:p w14:paraId="003A9DB8">
      <w:pPr>
        <w:pStyle w:val="7"/>
        <w:ind w:left="84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2.1基本要求与说明</w:t>
      </w:r>
    </w:p>
    <w:p w14:paraId="1EB6A573">
      <w:pPr>
        <w:pStyle w:val="7"/>
        <w:ind w:left="420"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2.1.1招标文件中若要求提供检验（检测）报告或测试报告的，投标人应提供国家相关主管部门认可的检验检测机构出具的有效检验检测报告扫描件佐证（报告需盖有检验检测专用章或公章，带有CMA标识）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未按要求提供的不予认可。</w:t>
      </w:r>
    </w:p>
    <w:p w14:paraId="166CC867">
      <w:pPr>
        <w:pStyle w:val="7"/>
        <w:ind w:left="420" w:firstLine="425"/>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2.1.2招标要求若是带有范围值的参数，投标人须明确写出响应的数值，不可照抄招标要求的范围值。要求提供客观证据的，措辞不限制与招标文件要求的措辞完全相同，能体现符合对应功能参数要求即可（为便于专家评审，请投标人应自行在所提供的客观证据上显著作出标记和说明，并确保客观证据清晰可辨）。投标人须提供真实、合法、有效的检测报告作为响应文件组成部分。该检测报告必须由具备相应资质的法定检测机构出具</w:t>
      </w:r>
      <w:r>
        <w:rPr>
          <w:rFonts w:hint="eastAsia" w:ascii="仿宋" w:hAnsi="仿宋" w:eastAsia="仿宋" w:cs="仿宋"/>
          <w:sz w:val="24"/>
          <w:szCs w:val="24"/>
          <w:highlight w:val="none"/>
          <w:lang w:eastAsia="zh-CN"/>
        </w:rPr>
        <w:t>。</w:t>
      </w:r>
    </w:p>
    <w:p w14:paraId="0572493B">
      <w:pPr>
        <w:pStyle w:val="7"/>
        <w:ind w:left="0" w:firstLine="723" w:firstLineChars="300"/>
        <w:rPr>
          <w:rFonts w:hint="eastAsia" w:ascii="仿宋" w:hAnsi="仿宋" w:eastAsia="仿宋" w:cs="仿宋"/>
          <w:b/>
          <w:sz w:val="24"/>
          <w:szCs w:val="24"/>
          <w:highlight w:val="none"/>
        </w:rPr>
      </w:pPr>
      <w:bookmarkStart w:id="0" w:name="_GoBack"/>
      <w:bookmarkEnd w:id="0"/>
      <w:r>
        <w:rPr>
          <w:rFonts w:hint="eastAsia" w:ascii="仿宋" w:hAnsi="仿宋" w:eastAsia="仿宋" w:cs="仿宋"/>
          <w:b/>
          <w:sz w:val="24"/>
          <w:szCs w:val="24"/>
          <w:highlight w:val="none"/>
        </w:rPr>
        <w:t>2.2</w:t>
      </w:r>
      <w:r>
        <w:rPr>
          <w:rFonts w:hint="eastAsia" w:ascii="仿宋" w:hAnsi="仿宋" w:eastAsia="仿宋" w:cs="仿宋"/>
          <w:b/>
          <w:sz w:val="24"/>
          <w:szCs w:val="24"/>
          <w:highlight w:val="none"/>
          <w:lang w:val="en-US" w:eastAsia="zh-CN"/>
        </w:rPr>
        <w:t>附件1：</w:t>
      </w:r>
      <w:r>
        <w:rPr>
          <w:rFonts w:hint="eastAsia" w:ascii="仿宋" w:hAnsi="仿宋" w:eastAsia="仿宋" w:cs="仿宋"/>
          <w:b/>
          <w:sz w:val="24"/>
          <w:szCs w:val="24"/>
          <w:highlight w:val="none"/>
        </w:rPr>
        <w:t>主要设备参数详见附件。</w:t>
      </w:r>
    </w:p>
    <w:p w14:paraId="53A36334">
      <w:pPr>
        <w:pStyle w:val="7"/>
        <w:ind w:left="0"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2.3</w:t>
      </w:r>
      <w:r>
        <w:rPr>
          <w:rFonts w:hint="eastAsia" w:ascii="仿宋" w:hAnsi="仿宋" w:eastAsia="仿宋" w:cs="仿宋"/>
          <w:b/>
          <w:sz w:val="24"/>
          <w:szCs w:val="24"/>
          <w:highlight w:val="none"/>
        </w:rPr>
        <w:t>投标人承诺：1、所投的所有货物（产品、设备）均具有在中国境内的合法使用权和用户保护权且为全新原装品牌产品；2、若所投货物（产品、设备）属于国家有强制性产品认证要求的，均已通过中国强制性产品认证（3C认证）；3、若所投货物（产品、设备）属于列入《网络关键设备和网络安全专用产品目录》的网络安全专用产品，均完全符合《信息安全技术 网络安全专用产品安全技术要求》等相关国家标准的强制性要求</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4、所投标的所有货物（产品、设备）均符合国家相关所有法律法规要求，满足出厂、上市销售的条件。投标人承诺以上承诺内容，有任何一条不满足的，采购人可不予验收通过，同时，采购人有权追究投标人违约责任。【投标人须提供书面承诺（格式自拟）并加盖投标人公章（或电子公章），否则作无效投标处理】。</w:t>
      </w:r>
    </w:p>
    <w:p w14:paraId="2F74E82D">
      <w:pPr>
        <w:pStyle w:val="7"/>
        <w:spacing w:before="120" w:after="120"/>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3.安装调试、技术服务、人员培训及技术资料</w:t>
      </w:r>
    </w:p>
    <w:p w14:paraId="49CC95FE">
      <w:pPr>
        <w:pStyle w:val="7"/>
        <w:ind w:left="840"/>
        <w:rPr>
          <w:rFonts w:hint="eastAsia" w:ascii="仿宋" w:hAnsi="仿宋" w:eastAsia="仿宋" w:cs="仿宋"/>
          <w:sz w:val="24"/>
          <w:szCs w:val="24"/>
          <w:highlight w:val="none"/>
        </w:rPr>
      </w:pPr>
      <w:r>
        <w:rPr>
          <w:rFonts w:hint="eastAsia" w:ascii="仿宋" w:hAnsi="仿宋" w:eastAsia="仿宋" w:cs="仿宋"/>
          <w:sz w:val="24"/>
          <w:szCs w:val="24"/>
          <w:highlight w:val="none"/>
        </w:rPr>
        <w:t>3.1投标人应提供下列服务：货物的现场安装和调试、提供货物安装和维修所需的专用工具和辅助材料、应派专业技术人员在项目现场对采购人使用人员进行培训或指导，在使用一段时间后可根据采购人的要求另行安排培训计划，服务过程发生的费用包含在报价中。</w:t>
      </w:r>
    </w:p>
    <w:p w14:paraId="08C2B57F">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3.2投标人应按采购人要求，于安装调试完毕后及使用一段时间后按约定时间派工程师到采购人现场培训，并提供全套培训材料。</w:t>
      </w:r>
    </w:p>
    <w:p w14:paraId="6527E9BC">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3.3投标人应提供货物的技术文件，包括相应的图纸、操作手册、质量保证文件、服务指南及维修手册、维护手册、软件备份、故障代码表、备件清单、零部件、维修密码等维护维修必需的材料和信息。这些文件应随同设备一起发运至采购人。</w:t>
      </w:r>
    </w:p>
    <w:p w14:paraId="72244643">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3.4投标人应开放所投标产品的信息化数据协议，与采购人信息平台数据通讯实现互联互通，所产生的费用由投标人承担。</w:t>
      </w:r>
    </w:p>
    <w:p w14:paraId="57C90611">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3.5投标人应对其货物主机配套的软件、程序或固件提供终身维护与升级服务，费用包含在投标报价中。</w:t>
      </w:r>
    </w:p>
    <w:p w14:paraId="7BE23E43">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3.6投标人应按采购人要求，于安装调试完毕后及使用一段时间后按约定时间派工程师到采购人现场培训，并提供全套培训材料。提供设备运行、安装、使用环境要求及指导；提供技术培训，保证使用人员能够正确操作，能正确使用设备各种功能。</w:t>
      </w:r>
    </w:p>
    <w:p w14:paraId="6D4D8B31">
      <w:pPr>
        <w:pStyle w:val="7"/>
        <w:ind w:firstLine="42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3.7投标人应在承诺的交货时间内将货物送至采购人指定地点进行验收。</w:t>
      </w:r>
    </w:p>
    <w:p w14:paraId="02A070C7">
      <w:pPr>
        <w:pStyle w:val="7"/>
        <w:spacing w:before="120" w:after="120"/>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4.现场踏勘</w:t>
      </w:r>
    </w:p>
    <w:p w14:paraId="60C609B2">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4.1本项目</w:t>
      </w:r>
      <w:r>
        <w:rPr>
          <w:rFonts w:hint="eastAsia" w:ascii="仿宋" w:hAnsi="仿宋" w:eastAsia="仿宋" w:cs="仿宋"/>
          <w:sz w:val="24"/>
          <w:szCs w:val="24"/>
          <w:highlight w:val="none"/>
          <w:lang w:val="en-US" w:eastAsia="zh-CN"/>
        </w:rPr>
        <w:t>不</w:t>
      </w:r>
      <w:r>
        <w:rPr>
          <w:rFonts w:hint="eastAsia" w:ascii="仿宋" w:hAnsi="仿宋" w:eastAsia="仿宋" w:cs="仿宋"/>
          <w:sz w:val="24"/>
          <w:szCs w:val="24"/>
          <w:highlight w:val="none"/>
        </w:rPr>
        <w:t>组织统一现场踏勘，</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可对项目现场及周围环境进行踏勘，以便获取有关编制投标文件和签署合同所涉及现场的资料。</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应自行承担踏勘现场所发生的所有费用。</w:t>
      </w:r>
    </w:p>
    <w:p w14:paraId="22FBCE81">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若投标人所投设备尺寸大于本项目设备尺寸的限制，但经实际了解与咨询能满足安装条件及正常使用要求，投标人须承诺承担包括并不限于所有场地安装、改造等费用，并在投标文件中提供相关安装改造技术说明及相应承诺函者亦视为满足该条款。</w:t>
      </w:r>
    </w:p>
    <w:p w14:paraId="37ABB476">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及其人员经过采购人允许，可以踏勘为目的进入项目现场，但</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及其人员不得因此使采购人及其人员承担有关的责任和蒙受损失。</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并应对由此次踏勘现场而造成的任何损失、损害和引起的费用和开支承担责任。</w:t>
      </w:r>
    </w:p>
    <w:p w14:paraId="76D00936">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采购人向</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提供的有关现场的资料和数据，是采购人现有的能被</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利用的资料。采购人对</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做出的理解、推论和结论均不负责任。</w:t>
      </w:r>
    </w:p>
    <w:p w14:paraId="24838B04">
      <w:pPr>
        <w:pStyle w:val="7"/>
        <w:spacing w:before="120" w:after="120"/>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5.技术响应要求</w:t>
      </w:r>
    </w:p>
    <w:p w14:paraId="072AEC2B">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5.1投标人应在投标文件中明确主要货物的相关信息，包括但不限于：非定制品的品牌、制造商、型号、规格、技术参数、数量等信息，定制品的制造商、规格、技术参数、数量等信息。</w:t>
      </w:r>
    </w:p>
    <w:p w14:paraId="0C7D4658">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5.2本章的要求为基本要求，评分条款若有对优于本章要求进行加分的，投标人符合要求并提供相应证明材料的可获加分，具体详见评分条款。</w:t>
      </w:r>
    </w:p>
    <w:p w14:paraId="0D8117F5">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5.3投标人除根据本章技术参数要求提供相应技术响应及佐证材料外，还应根据技术项评分条款的要求提供相应的技术参数佐证材料，未按要求提供的将可能导致不得分。</w:t>
      </w:r>
    </w:p>
    <w:p w14:paraId="34883D90">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5.4投标人应根据技术项评分条款的要求提供相应的方案，如供货方案、实施方案、安装调试方案、售后服务方案等。</w:t>
      </w:r>
    </w:p>
    <w:p w14:paraId="0C839F5B">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5.5投标人应根据技术要求和评分条款的要求（如有）明确中标后投入本项目的管理人员、技术人员、服务人员等信息，并提供相应的佐证材料，未按要求提供的将可能导致不得分。</w:t>
      </w:r>
    </w:p>
    <w:p w14:paraId="1BCD239F">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5.6评分条款中若要求提供人员社保证明的，应提供投标截止时间前六个月（不含投标截止时间的当月）中任一月份投标人为人员缴纳社保的凭据或政府部门出具的证明。投标截止时间当月成立或享受社保减免政策的投标人，无法提供相关社保缴纳证明材料的，提供依法缴纳社会保障资金承诺书（格式自拟）即可。未按要求提供的不予认可。</w:t>
      </w:r>
    </w:p>
    <w:p w14:paraId="52863892">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5.7投标人中标后不得将本项目转包，否则采购人有权终止合同并追究中标人的违约责任。</w:t>
      </w:r>
    </w:p>
    <w:p w14:paraId="236540C9">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5.8投标人提供的采购标的应符合国家知识产权法律、法规的规定且非假冒伪劣品；投标人中标后需保证采购人不受到第三方关于侵犯知识产权及专利权、商标权或工业设计权等知识产权方面的指控，若任何第三方提出此方面指控均与采购人无关，中标人应与第三方交涉，并承担可能发生的一切法律责任、费用和后果；若采购人因此而遭致损失，则中标人应赔偿该损失。</w:t>
      </w:r>
    </w:p>
    <w:p w14:paraId="3B0D7D12">
      <w:pPr>
        <w:pStyle w:val="7"/>
        <w:ind w:firstLine="480"/>
        <w:rPr>
          <w:rFonts w:hint="eastAsia" w:ascii="仿宋" w:hAnsi="仿宋" w:eastAsia="仿宋" w:cs="仿宋"/>
          <w:sz w:val="24"/>
          <w:szCs w:val="24"/>
          <w:highlight w:val="none"/>
          <w:lang w:eastAsia="zh-CN"/>
        </w:rPr>
      </w:pPr>
      <w:r>
        <w:rPr>
          <w:rFonts w:hint="eastAsia" w:ascii="仿宋" w:hAnsi="仿宋" w:eastAsia="仿宋" w:cs="仿宋"/>
          <w:b/>
          <w:sz w:val="24"/>
          <w:szCs w:val="24"/>
          <w:highlight w:val="none"/>
        </w:rPr>
        <w:t>★</w:t>
      </w:r>
      <w:r>
        <w:rPr>
          <w:rFonts w:hint="eastAsia" w:ascii="仿宋" w:hAnsi="仿宋" w:eastAsia="仿宋" w:cs="仿宋"/>
          <w:sz w:val="24"/>
          <w:szCs w:val="24"/>
          <w:highlight w:val="none"/>
          <w:lang w:val="en-US" w:eastAsia="zh-CN"/>
        </w:rPr>
        <w:t>5.9</w:t>
      </w:r>
      <w:r>
        <w:rPr>
          <w:rFonts w:hint="eastAsia" w:ascii="仿宋" w:hAnsi="仿宋" w:eastAsia="仿宋" w:cs="仿宋"/>
          <w:sz w:val="24"/>
          <w:szCs w:val="24"/>
          <w:highlight w:val="none"/>
        </w:rPr>
        <w:t>近三年存在弄虚作假的行为，被政府或政府有关部门记不良行为记录的，不得参与本项目投标</w:t>
      </w:r>
      <w:r>
        <w:rPr>
          <w:rFonts w:hint="eastAsia" w:ascii="仿宋" w:hAnsi="仿宋" w:eastAsia="仿宋" w:cs="仿宋"/>
          <w:sz w:val="24"/>
          <w:szCs w:val="24"/>
          <w:highlight w:val="none"/>
          <w:lang w:eastAsia="zh-CN"/>
        </w:rPr>
        <w:t>（投标人对此需提供书面承诺（格式自拟），否则投标无效。）。</w:t>
      </w:r>
    </w:p>
    <w:p w14:paraId="0C9F58B2">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投标人应明确所提供的货物及服务与采购需求存在的正负偏离情况。对照招标文件要求，在《技术和服务要求响应表》中逐条说明所提供的货物及服务对采购需求的响应情况。投标人若未对采购需求进行逐条响应，将可能导致不利的评审后果。</w:t>
      </w:r>
    </w:p>
    <w:p w14:paraId="63AAB615">
      <w:pPr>
        <w:pStyle w:val="7"/>
        <w:jc w:val="both"/>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6.</w:t>
      </w:r>
      <w:r>
        <w:rPr>
          <w:rFonts w:hint="eastAsia" w:ascii="仿宋" w:hAnsi="仿宋" w:eastAsia="仿宋" w:cs="仿宋"/>
          <w:b/>
          <w:sz w:val="24"/>
          <w:szCs w:val="24"/>
          <w:highlight w:val="none"/>
        </w:rPr>
        <w:t>项目实施团队要求</w:t>
      </w:r>
    </w:p>
    <w:p w14:paraId="1233BA85">
      <w:pPr>
        <w:pStyle w:val="7"/>
        <w:ind w:firstLine="482"/>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1为保证此项目按时保质地顺利进行，投标人应建立相关专业人员组成的项目实施团队，并配备由项目总负责人、项目经理、项目技术负责人及相关技术人员组成，团队由专人负责。</w:t>
      </w:r>
    </w:p>
    <w:p w14:paraId="50FAD864">
      <w:pPr>
        <w:pStyle w:val="7"/>
        <w:ind w:firstLine="482"/>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2项目实施中必须根据采购文件要求进行实施。</w:t>
      </w:r>
    </w:p>
    <w:p w14:paraId="3E1BC5DF">
      <w:pPr>
        <w:pStyle w:val="7"/>
        <w:ind w:firstLine="482"/>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3要求相应实施人员具有较强的问题分析处理能力，较强的学习能力，爱岗敬业；富有责任心，注重工作效率，拥有良好的沟通能力。</w:t>
      </w:r>
    </w:p>
    <w:p w14:paraId="6F74E6E6">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4要求实施人员具有相应的项目实施经验，能够对项目实施进度及实施过程进行全程监管，并及时协商解决项目实施过程中遇到的问题。</w:t>
      </w:r>
    </w:p>
    <w:p w14:paraId="406C8ED2">
      <w:pPr>
        <w:pStyle w:val="7"/>
        <w:jc w:val="both"/>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7.</w:t>
      </w:r>
      <w:r>
        <w:rPr>
          <w:rFonts w:hint="eastAsia" w:ascii="仿宋" w:hAnsi="仿宋" w:eastAsia="仿宋" w:cs="仿宋"/>
          <w:b/>
          <w:sz w:val="24"/>
          <w:szCs w:val="24"/>
          <w:highlight w:val="none"/>
        </w:rPr>
        <w:t>投标要求</w:t>
      </w:r>
    </w:p>
    <w:p w14:paraId="5A8EAF36">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1.本项目为整体采购的交钥匙项目。招标文件中所要求的技术要求，视为保证项目运行所需的最低要求，投标人提供的技术方案应能全面适应（或超出）招标要求，不得降低招标技术标准和档次， 且需列出详细对应的技术参数偏离表，所投产品技术指标、功能参数与招标要求相比不得存在缺项、漏项。如有遗漏或不足，投标人应自行予以完善或充分补充并在投标文件中说明；否则，一旦中标将认为投标人认同遗漏部分并提供完善服务，所须费用包含在投标报价中。</w:t>
      </w:r>
    </w:p>
    <w:p w14:paraId="452C1C2F">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2.投标人所投货物须符合国家相关标准，所有设备及其元件、配件必须原厂原装、未经拆封，不能自行拆装。中标人应在供货时向采购人提供正规、可追溯的进货证明材料及设备制造商的出厂合格证明材料，产品的品牌型号（包含外包装显示的品牌型号、制造商）及产品的性能参数，必须与投标响应承诺的一致。若不一致，或无法提供上述材料或提供材料不符合要求的，采购人有权终止合同、取消中标人资格。</w:t>
      </w:r>
    </w:p>
    <w:p w14:paraId="62243909">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投标人必须对所提供货物（材料）的制造标准、安装标准、技术规范和产品的可维护性、适用性、安全、环保、可靠性等方面进行综合描述，并提供货物及配件、材料的品牌、规格型号、产地、技术参数、性能指标、产品制造工艺等方面的详细说明。投标人提供的货物、材料、安装调试采用的各种配件及各项施工均必须符合招标文件要求及国家相应标准及要求，项目实施前的各项报备手续应由中标人办理，必须符合国家相关规定。</w:t>
      </w:r>
    </w:p>
    <w:p w14:paraId="388D968B">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投标人应提供所产品技术参数的佐证材料，如最新彩页或产品手册或产品技术说明书复印件（扫描件），佐证材料必须与所投产品保持一致，并对所提供资料的真实性及与所投产品的符合性负责。产品佐证材料与投标文件文字描述不符时，应明确以哪个为准，并说明理由或提供依据，未做说明或提供依据的，评标委员会将做出不利于投标人的评审。</w:t>
      </w:r>
    </w:p>
    <w:p w14:paraId="34D9DEF7">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5.《采购清单》及主要设备技术参数要求中的技术参数涉及固定尺寸未明确范围值的，均允许正负偏离5%；采购文件及采购清单当中涉及执行的相关标准，若有更新,则以更新后的标准执行。</w:t>
      </w:r>
    </w:p>
    <w:p w14:paraId="27642411">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投标人不得虚报各项技术指标，若所提供的系统性能及设备指标不能达到招标文件要求及投标响应文件的承诺和相关技术规范、行业规定等技术要求，中标人必须接受全额退还货款，并承担由此给采购人造成的经济损失。</w:t>
      </w:r>
    </w:p>
    <w:p w14:paraId="2C8C6C6E">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7.本项目时间紧急，在招标文件规定的交付时间内应全部设备、材料到货安装、调试完成并经采购人验收合格。投标人因设备或材料的功能、参数不符合采购需求等拖延完成期的，采购人有权终止合同、取消中标资格，并依照合同条款追究相应责任。</w:t>
      </w:r>
    </w:p>
    <w:p w14:paraId="0C8126A8">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8.投标人应对照招标文件要求，逐条说明对招标文件要求做出了实质性的响应并列于《技术和服务要求响应表》、《商务条件响应表》中，投标人若未对招标要求进行逐条响应，评标委员会将做出不利于投标人的评审。对于本招标文件未能提出但投标人所提供的产品已具有的功能及相关技术性能指标，投标人应在《标的说明一览表》中予以补充说明，并提供相关技术资料及详细说明。</w:t>
      </w:r>
    </w:p>
    <w:p w14:paraId="3B6AB6AE">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9.投标人除根据本章技术参数要求提供相应技术响应及佐证材料外，还应根据技术项评分条款的要求提供相应的技术参数佐证材料，未按要求提供的将可能导致不得分。</w:t>
      </w:r>
    </w:p>
    <w:p w14:paraId="18D778E4">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10.投标人应根据技术项评分条款的要求提供相应的方案，应包括但不限于以下内容：实施方案、供货计划安排、人员配备、人员资质、安装调试方案、供货时间保证措施等。</w:t>
      </w:r>
    </w:p>
    <w:p w14:paraId="594B2749">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11.投标人应根据技术要求和评分条款的要求明确中标后投入本项目的管理人员、技术人员、服务人员等信息，并提供相应的佐证材料，未按要求提供的将可能导致不得分。</w:t>
      </w:r>
    </w:p>
    <w:p w14:paraId="444ED030">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.交付使用前出现任何不合格情况，一律退换新品。在质量保证期内发生的性能不合格（非使用不当原因造成），除采购人同意修复者外，应退换新品。</w:t>
      </w:r>
    </w:p>
    <w:p w14:paraId="3B15FDAE">
      <w:pPr>
        <w:pStyle w:val="7"/>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中标人应保证其货物在正常使用和保养条件下，在其使用寿命期内应具有良好的性能。货物最终验收后，中标人应对由于设计、工艺或材料的缺陷而发生的任何不足或故障负责(经法定检验机构检验)，并承担由此引起的一切后果。</w:t>
      </w:r>
    </w:p>
    <w:p w14:paraId="7322F4D5">
      <w:pPr>
        <w:pStyle w:val="7"/>
        <w:ind w:firstLine="420"/>
        <w:rPr>
          <w:rFonts w:hint="eastAsia" w:ascii="仿宋" w:hAnsi="仿宋" w:eastAsia="仿宋" w:cs="仿宋"/>
          <w:b/>
          <w:sz w:val="24"/>
          <w:szCs w:val="24"/>
          <w:highlight w:val="none"/>
          <w:lang w:eastAsia="zh-CN"/>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.投标人必须具有完善的售后服务机构和售后服务体系，能提供本地化技术服务。</w:t>
      </w:r>
    </w:p>
    <w:p w14:paraId="200B276A">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15.</w:t>
      </w:r>
      <w:r>
        <w:rPr>
          <w:rFonts w:hint="eastAsia" w:ascii="仿宋" w:hAnsi="仿宋" w:eastAsia="仿宋" w:cs="仿宋"/>
          <w:sz w:val="24"/>
          <w:szCs w:val="24"/>
          <w:highlight w:val="none"/>
        </w:rPr>
        <w:t>为保证影像存储正常、稳定运行，投标人所投的影像存储扩容应与现有影像存储实现统一管理，统一授权，对接所需费用（含接口费）包含到投标总价中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p w14:paraId="35660249">
      <w:pPr>
        <w:pStyle w:val="7"/>
        <w:ind w:firstLine="480"/>
        <w:rPr>
          <w:rFonts w:hint="eastAsia" w:ascii="仿宋" w:hAnsi="仿宋" w:eastAsia="仿宋" w:cs="仿宋"/>
          <w:b/>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16.</w:t>
      </w:r>
      <w:r>
        <w:rPr>
          <w:rFonts w:hint="eastAsia" w:ascii="仿宋" w:hAnsi="仿宋" w:eastAsia="仿宋" w:cs="仿宋"/>
          <w:sz w:val="24"/>
          <w:szCs w:val="24"/>
          <w:highlight w:val="none"/>
        </w:rPr>
        <w:t>为保证智能信息发布软件正常、稳定运行，投标人所投的智能信息发布软件及设备需与一期建设的智能信息发布软件无缝对接，统一管理及发布信息，所需费用（含接口费）包含到投标总价中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p w14:paraId="056C385D">
      <w:pPr>
        <w:pStyle w:val="7"/>
        <w:ind w:firstLine="480"/>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17.</w:t>
      </w:r>
      <w:r>
        <w:rPr>
          <w:rFonts w:hint="eastAsia" w:ascii="仿宋" w:hAnsi="仿宋" w:eastAsia="仿宋" w:cs="仿宋"/>
          <w:sz w:val="24"/>
          <w:szCs w:val="24"/>
          <w:highlight w:val="none"/>
        </w:rPr>
        <w:t>为保证无线网络正常、稳定运行，投标人所投的无线控制器需与院区原有内网无线AP实现统一管理，统一授权，对接所需费用（含接口费）包含到投标总价中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p w14:paraId="2EC66FBE">
      <w:pPr>
        <w:pStyle w:val="7"/>
        <w:ind w:firstLine="420"/>
        <w:rPr>
          <w:rFonts w:hint="eastAsia" w:ascii="仿宋" w:hAnsi="仿宋" w:eastAsia="仿宋" w:cs="仿宋"/>
          <w:b/>
          <w:sz w:val="24"/>
          <w:szCs w:val="24"/>
          <w:highlight w:val="none"/>
        </w:rPr>
      </w:pPr>
      <w:r>
        <w:rPr>
          <w:rFonts w:hint="eastAsia" w:ascii="仿宋" w:hAnsi="仿宋" w:eastAsia="仿宋" w:cs="仿宋"/>
          <w:sz w:val="24"/>
          <w:szCs w:val="24"/>
          <w:highlight w:val="none"/>
        </w:rPr>
        <w:t>★</w:t>
      </w:r>
      <w:r>
        <w:rPr>
          <w:rFonts w:hint="eastAsia" w:ascii="仿宋" w:hAnsi="仿宋" w:eastAsia="仿宋" w:cs="仿宋"/>
          <w:b w:val="0"/>
          <w:bCs w:val="0"/>
          <w:sz w:val="24"/>
          <w:szCs w:val="24"/>
          <w:highlight w:val="none"/>
        </w:rPr>
        <w:t>1</w:t>
      </w:r>
      <w:r>
        <w:rPr>
          <w:rFonts w:hint="eastAsia" w:ascii="仿宋" w:hAnsi="仿宋" w:eastAsia="仿宋" w:cs="仿宋"/>
          <w:b w:val="0"/>
          <w:bCs w:val="0"/>
          <w:sz w:val="24"/>
          <w:szCs w:val="24"/>
          <w:highlight w:val="none"/>
          <w:lang w:val="en-US" w:eastAsia="zh-CN"/>
        </w:rPr>
        <w:t>8</w:t>
      </w:r>
      <w:r>
        <w:rPr>
          <w:rFonts w:hint="eastAsia" w:ascii="仿宋" w:hAnsi="仿宋" w:eastAsia="仿宋" w:cs="仿宋"/>
          <w:b w:val="0"/>
          <w:bCs w:val="0"/>
          <w:sz w:val="24"/>
          <w:szCs w:val="24"/>
          <w:highlight w:val="none"/>
        </w:rPr>
        <w:t>.本项目所投标响应的软硬件均应能提供开放接口，兼容对接</w:t>
      </w:r>
      <w:r>
        <w:rPr>
          <w:rFonts w:hint="eastAsia" w:ascii="仿宋" w:hAnsi="仿宋" w:eastAsia="仿宋" w:cs="仿宋"/>
          <w:b w:val="0"/>
          <w:bCs w:val="0"/>
          <w:sz w:val="24"/>
          <w:szCs w:val="24"/>
          <w:highlight w:val="none"/>
          <w:lang w:eastAsia="zh-CN"/>
        </w:rPr>
        <w:t>，</w:t>
      </w:r>
      <w:r>
        <w:rPr>
          <w:rFonts w:hint="eastAsia" w:ascii="仿宋" w:hAnsi="仿宋" w:eastAsia="仿宋" w:cs="仿宋"/>
          <w:b w:val="0"/>
          <w:bCs w:val="0"/>
          <w:sz w:val="24"/>
          <w:szCs w:val="24"/>
          <w:highlight w:val="none"/>
        </w:rPr>
        <w:t>包括但不限于数据接口对接、协议兼容性及功能协同性要求。</w:t>
      </w:r>
      <w:r>
        <w:rPr>
          <w:rFonts w:hint="eastAsia" w:ascii="仿宋" w:hAnsi="仿宋" w:eastAsia="仿宋" w:cs="仿宋"/>
          <w:b w:val="0"/>
          <w:bCs w:val="0"/>
          <w:sz w:val="24"/>
          <w:szCs w:val="24"/>
          <w:highlight w:val="none"/>
          <w:lang w:val="en-US" w:eastAsia="zh-CN"/>
        </w:rPr>
        <w:t>投标人承诺</w:t>
      </w:r>
      <w:r>
        <w:rPr>
          <w:rFonts w:hint="eastAsia" w:ascii="仿宋" w:hAnsi="仿宋" w:eastAsia="仿宋" w:cs="仿宋"/>
          <w:b w:val="0"/>
          <w:bCs w:val="0"/>
          <w:sz w:val="24"/>
          <w:szCs w:val="24"/>
          <w:highlight w:val="none"/>
        </w:rPr>
        <w:t>保障相关业务的无缝衔接和运营需求。相关对接接口和信息，以及具体对接工作，采购人将在合同签订后予以协调落实及开展，接入和对接有可能产生的费用包含在项目总价当中</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w:t>
      </w:r>
    </w:p>
    <w:p w14:paraId="0A86BBF8">
      <w:pPr>
        <w:pStyle w:val="7"/>
        <w:ind w:firstLine="480"/>
        <w:rPr>
          <w:rFonts w:hint="eastAsia" w:ascii="仿宋" w:hAnsi="仿宋" w:eastAsia="仿宋" w:cs="仿宋"/>
          <w:sz w:val="24"/>
          <w:szCs w:val="24"/>
          <w:highlight w:val="none"/>
        </w:rPr>
      </w:pPr>
    </w:p>
    <w:p w14:paraId="083F6A4B">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三、商务要求（以“★”标示的内容为不允许负偏离的实质性要求）</w:t>
      </w:r>
    </w:p>
    <w:p w14:paraId="38C8210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53"/>
        <w:gridCol w:w="1275"/>
        <w:gridCol w:w="1725"/>
        <w:gridCol w:w="4551"/>
      </w:tblGrid>
      <w:tr w14:paraId="6EC654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4692602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275" w:type="dxa"/>
          </w:tcPr>
          <w:p w14:paraId="148C4CFA">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参数性质</w:t>
            </w:r>
          </w:p>
        </w:tc>
        <w:tc>
          <w:tcPr>
            <w:tcW w:w="1725" w:type="dxa"/>
          </w:tcPr>
          <w:p w14:paraId="0078C7B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类型</w:t>
            </w:r>
          </w:p>
        </w:tc>
        <w:tc>
          <w:tcPr>
            <w:tcW w:w="4551" w:type="dxa"/>
          </w:tcPr>
          <w:p w14:paraId="719688C3">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要求</w:t>
            </w:r>
          </w:p>
        </w:tc>
      </w:tr>
      <w:tr w14:paraId="39DB0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24172FD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275" w:type="dxa"/>
          </w:tcPr>
          <w:p w14:paraId="3BD68D44">
            <w:pPr>
              <w:rPr>
                <w:rFonts w:hint="eastAsia" w:ascii="仿宋" w:hAnsi="仿宋" w:eastAsia="仿宋" w:cs="仿宋"/>
                <w:sz w:val="24"/>
                <w:szCs w:val="24"/>
                <w:highlight w:val="none"/>
              </w:rPr>
            </w:pPr>
          </w:p>
        </w:tc>
        <w:tc>
          <w:tcPr>
            <w:tcW w:w="1725" w:type="dxa"/>
          </w:tcPr>
          <w:p w14:paraId="28D7C57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交货时间</w:t>
            </w:r>
          </w:p>
        </w:tc>
        <w:tc>
          <w:tcPr>
            <w:tcW w:w="4551" w:type="dxa"/>
          </w:tcPr>
          <w:p w14:paraId="6D739614">
            <w:pPr>
              <w:pStyle w:val="7"/>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自合同签订之日起</w:t>
            </w:r>
            <w:r>
              <w:rPr>
                <w:rFonts w:hint="eastAsia" w:ascii="仿宋" w:hAnsi="仿宋" w:eastAsia="仿宋" w:cs="仿宋"/>
                <w:sz w:val="24"/>
                <w:szCs w:val="24"/>
                <w:highlight w:val="none"/>
                <w:lang w:val="en-US" w:eastAsia="zh-CN"/>
              </w:rPr>
              <w:t>210个</w:t>
            </w:r>
            <w:r>
              <w:rPr>
                <w:rFonts w:hint="eastAsia" w:ascii="仿宋" w:hAnsi="仿宋" w:eastAsia="仿宋" w:cs="仿宋"/>
                <w:sz w:val="24"/>
                <w:szCs w:val="24"/>
                <w:highlight w:val="none"/>
              </w:rPr>
              <w:t>日历日（不含试用期）完成设备安装、调试，达到项目的初步验收标准</w:t>
            </w:r>
            <w:r>
              <w:rPr>
                <w:rFonts w:hint="eastAsia" w:ascii="仿宋" w:hAnsi="仿宋" w:eastAsia="仿宋" w:cs="仿宋"/>
                <w:sz w:val="24"/>
                <w:szCs w:val="24"/>
                <w:highlight w:val="none"/>
                <w:lang w:eastAsia="zh-CN"/>
              </w:rPr>
              <w:t>。</w:t>
            </w:r>
          </w:p>
        </w:tc>
      </w:tr>
      <w:tr w14:paraId="64704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20306D48">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275" w:type="dxa"/>
          </w:tcPr>
          <w:p w14:paraId="741F0617">
            <w:pPr>
              <w:rPr>
                <w:rFonts w:hint="eastAsia" w:ascii="仿宋" w:hAnsi="仿宋" w:eastAsia="仿宋" w:cs="仿宋"/>
                <w:sz w:val="24"/>
                <w:szCs w:val="24"/>
                <w:highlight w:val="none"/>
              </w:rPr>
            </w:pPr>
          </w:p>
        </w:tc>
        <w:tc>
          <w:tcPr>
            <w:tcW w:w="1725" w:type="dxa"/>
          </w:tcPr>
          <w:p w14:paraId="252A1D1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交货地点</w:t>
            </w:r>
          </w:p>
        </w:tc>
        <w:tc>
          <w:tcPr>
            <w:tcW w:w="4551" w:type="dxa"/>
          </w:tcPr>
          <w:p w14:paraId="5A6E23B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采购人指定地点</w:t>
            </w:r>
          </w:p>
        </w:tc>
      </w:tr>
      <w:tr w14:paraId="767C8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4ACE80A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275" w:type="dxa"/>
          </w:tcPr>
          <w:p w14:paraId="78C00165">
            <w:pPr>
              <w:rPr>
                <w:rFonts w:hint="eastAsia" w:ascii="仿宋" w:hAnsi="仿宋" w:eastAsia="仿宋" w:cs="仿宋"/>
                <w:sz w:val="24"/>
                <w:szCs w:val="24"/>
                <w:highlight w:val="none"/>
              </w:rPr>
            </w:pPr>
          </w:p>
        </w:tc>
        <w:tc>
          <w:tcPr>
            <w:tcW w:w="1725" w:type="dxa"/>
          </w:tcPr>
          <w:p w14:paraId="69C8806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交货条件</w:t>
            </w:r>
          </w:p>
        </w:tc>
        <w:tc>
          <w:tcPr>
            <w:tcW w:w="4551" w:type="dxa"/>
          </w:tcPr>
          <w:p w14:paraId="2C5590A7">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项目初步验收合格后</w:t>
            </w:r>
          </w:p>
        </w:tc>
      </w:tr>
      <w:tr w14:paraId="7F57D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623B977D">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275" w:type="dxa"/>
          </w:tcPr>
          <w:p w14:paraId="56BCBFF3">
            <w:pPr>
              <w:rPr>
                <w:rFonts w:hint="eastAsia" w:ascii="仿宋" w:hAnsi="仿宋" w:eastAsia="仿宋" w:cs="仿宋"/>
                <w:sz w:val="24"/>
                <w:szCs w:val="24"/>
                <w:highlight w:val="none"/>
              </w:rPr>
            </w:pPr>
          </w:p>
        </w:tc>
        <w:tc>
          <w:tcPr>
            <w:tcW w:w="1725" w:type="dxa"/>
          </w:tcPr>
          <w:p w14:paraId="0E9FD4F5">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是否邀请投标人验收</w:t>
            </w:r>
          </w:p>
        </w:tc>
        <w:tc>
          <w:tcPr>
            <w:tcW w:w="4551" w:type="dxa"/>
          </w:tcPr>
          <w:p w14:paraId="4ACC9CA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不邀请投标人验收</w:t>
            </w:r>
          </w:p>
        </w:tc>
      </w:tr>
      <w:tr w14:paraId="02E4C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0A6D539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275" w:type="dxa"/>
          </w:tcPr>
          <w:p w14:paraId="06A8A721">
            <w:pPr>
              <w:rPr>
                <w:rFonts w:hint="eastAsia" w:ascii="仿宋" w:hAnsi="仿宋" w:eastAsia="仿宋" w:cs="仿宋"/>
                <w:sz w:val="24"/>
                <w:szCs w:val="24"/>
                <w:highlight w:val="none"/>
              </w:rPr>
            </w:pPr>
          </w:p>
        </w:tc>
        <w:tc>
          <w:tcPr>
            <w:tcW w:w="1725" w:type="dxa"/>
          </w:tcPr>
          <w:p w14:paraId="394AEF5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履约验收方式</w:t>
            </w:r>
          </w:p>
        </w:tc>
        <w:tc>
          <w:tcPr>
            <w:tcW w:w="4551" w:type="dxa"/>
          </w:tcPr>
          <w:p w14:paraId="0C13600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期次1，说明：初步验收：供需双方对货物进行开箱、清点、检查、安装、调试后验收，如果发现数量不足或有质量、技术等问题，中标人应在7个工作日内，按照采购人的要求，采取补足、更换或退货等处理措施，并承担由此发生的一切损失和费用。</w:t>
            </w:r>
          </w:p>
          <w:p w14:paraId="02830036">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期次2，说明：试运行：初步验收通过后，根据各建设分项的完成情况，对具备进入试运行的分项，可由中标人申请进入并经采购人复核同意后进入试运行阶段，试运行周期为6个月，如所有性能指标达到招标文件及合同要求时，可按建设分项组织后续相关验收。试运行期间中标人应有专业技术人员进行现场技术支持，出现的任何问题，应由中标人及时处理解决。在试运行期间，由于应用软件/硬件质量等造成某些指标达不到要求，允许中标人更换、修复、修改等，直至连续无故障试运行满6个月。在全部达到要求时，双方签署最终验收文件。</w:t>
            </w:r>
          </w:p>
          <w:p w14:paraId="7CA1ADE0">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期次3，说明：最终验收：在货物安装调试完成后30天内，供需双方按照合同规定的验收标准进行验收，并以采购人验收意见为准。中标人应派代表参与验收过程，中标人未派代表参与或未在接到采购人验收意见3个工作日内书面提出异议的，视为中标人对验收意见无异议。最终验收合格后，双方签定验收合格报告。</w:t>
            </w:r>
          </w:p>
        </w:tc>
      </w:tr>
      <w:tr w14:paraId="5CFB5B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7E09208C">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1275" w:type="dxa"/>
          </w:tcPr>
          <w:p w14:paraId="1BE300EA">
            <w:pPr>
              <w:rPr>
                <w:rFonts w:hint="eastAsia" w:ascii="仿宋" w:hAnsi="仿宋" w:eastAsia="仿宋" w:cs="仿宋"/>
                <w:sz w:val="24"/>
                <w:szCs w:val="24"/>
                <w:highlight w:val="none"/>
              </w:rPr>
            </w:pPr>
          </w:p>
        </w:tc>
        <w:tc>
          <w:tcPr>
            <w:tcW w:w="1725" w:type="dxa"/>
          </w:tcPr>
          <w:p w14:paraId="29E9BC2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合同支付方式</w:t>
            </w:r>
          </w:p>
        </w:tc>
        <w:tc>
          <w:tcPr>
            <w:tcW w:w="4551" w:type="dxa"/>
          </w:tcPr>
          <w:p w14:paraId="13AACA25">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1、详见下文，达到付款条件起7日内，支付合同总金额的</w:t>
            </w:r>
            <w:r>
              <w:rPr>
                <w:rFonts w:hint="eastAsia" w:ascii="仿宋" w:hAnsi="仿宋" w:eastAsia="仿宋" w:cs="仿宋"/>
                <w:sz w:val="24"/>
                <w:szCs w:val="24"/>
                <w:highlight w:val="none"/>
                <w:lang w:val="en-US" w:eastAsia="zh-CN"/>
              </w:rPr>
              <w:t>50</w:t>
            </w:r>
            <w:r>
              <w:rPr>
                <w:rFonts w:hint="eastAsia" w:ascii="仿宋" w:hAnsi="仿宋" w:eastAsia="仿宋" w:cs="仿宋"/>
                <w:sz w:val="24"/>
                <w:szCs w:val="24"/>
                <w:highlight w:val="none"/>
              </w:rPr>
              <w:t>.00%</w:t>
            </w:r>
          </w:p>
          <w:p w14:paraId="428BDA52">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2、详见下文，达到付款条件起7日内，支付合同总金额的</w:t>
            </w:r>
            <w:r>
              <w:rPr>
                <w:rFonts w:hint="eastAsia" w:ascii="仿宋" w:hAnsi="仿宋" w:eastAsia="仿宋" w:cs="仿宋"/>
                <w:sz w:val="24"/>
                <w:szCs w:val="24"/>
                <w:highlight w:val="none"/>
                <w:lang w:val="en-US" w:eastAsia="zh-CN"/>
              </w:rPr>
              <w:t xml:space="preserve"> 20</w:t>
            </w:r>
            <w:r>
              <w:rPr>
                <w:rFonts w:hint="eastAsia" w:ascii="仿宋" w:hAnsi="仿宋" w:eastAsia="仿宋" w:cs="仿宋"/>
                <w:sz w:val="24"/>
                <w:szCs w:val="24"/>
                <w:highlight w:val="none"/>
              </w:rPr>
              <w:t>.00%</w:t>
            </w:r>
          </w:p>
          <w:p w14:paraId="05F05190">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3、详见下文，达到付款条件起7日内，支付合同总金额的</w:t>
            </w:r>
            <w:r>
              <w:rPr>
                <w:rFonts w:hint="eastAsia" w:ascii="仿宋" w:hAnsi="仿宋" w:eastAsia="仿宋" w:cs="仿宋"/>
                <w:sz w:val="24"/>
                <w:szCs w:val="24"/>
                <w:highlight w:val="none"/>
                <w:lang w:val="en-US" w:eastAsia="zh-CN"/>
              </w:rPr>
              <w:t xml:space="preserve"> 30</w:t>
            </w:r>
            <w:r>
              <w:rPr>
                <w:rFonts w:hint="eastAsia" w:ascii="仿宋" w:hAnsi="仿宋" w:eastAsia="仿宋" w:cs="仿宋"/>
                <w:sz w:val="24"/>
                <w:szCs w:val="24"/>
                <w:highlight w:val="none"/>
              </w:rPr>
              <w:t>.00%</w:t>
            </w:r>
          </w:p>
        </w:tc>
      </w:tr>
      <w:tr w14:paraId="6D4B6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3" w:type="dxa"/>
          </w:tcPr>
          <w:p w14:paraId="1C49AC04">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1275" w:type="dxa"/>
          </w:tcPr>
          <w:p w14:paraId="69204F44">
            <w:pPr>
              <w:rPr>
                <w:rFonts w:hint="eastAsia" w:ascii="仿宋" w:hAnsi="仿宋" w:eastAsia="仿宋" w:cs="仿宋"/>
                <w:sz w:val="24"/>
                <w:szCs w:val="24"/>
                <w:highlight w:val="none"/>
              </w:rPr>
            </w:pPr>
          </w:p>
        </w:tc>
        <w:tc>
          <w:tcPr>
            <w:tcW w:w="1725" w:type="dxa"/>
          </w:tcPr>
          <w:p w14:paraId="083B9561">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w:t>
            </w:r>
          </w:p>
        </w:tc>
        <w:tc>
          <w:tcPr>
            <w:tcW w:w="4551" w:type="dxa"/>
          </w:tcPr>
          <w:p w14:paraId="533A56BF">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缴纳, 本采购包履约保证金为合同金额的10%</w:t>
            </w:r>
          </w:p>
          <w:p w14:paraId="0A0E60CE">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说明：收取时间：合同签订时提交。对符合规定的中小企业减半收取履约保证金。 退还时间：在合同履约完毕且无合同纠纷后5个工作日内向</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退清履约保证金。 提交方式：允许</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自行选择提交履约保证金的方式。 不予退还的情形：</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未按合同约定承担违约责任的，采购人有权不予退还履约保证金。</w:t>
            </w:r>
          </w:p>
        </w:tc>
      </w:tr>
    </w:tbl>
    <w:p w14:paraId="737E4D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其他商务要求</w:t>
      </w:r>
    </w:p>
    <w:p w14:paraId="614AFC53">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8.验收要求</w:t>
      </w:r>
    </w:p>
    <w:p w14:paraId="6D02C11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8.1验收标准：按国家标准、行业标准、招投标文件及投标承诺书进行验收。</w:t>
      </w:r>
    </w:p>
    <w:p w14:paraId="2BD5899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8.2初步验收：供需双方对货物进行开箱、清点、检查、验收、安装、调试完成，如果发现数量不足或有质量、技术等问题，中标人应在7个工作日内，按照采购人的要求，采取补足、更换或退货等处理措施，并承担由此发生的一切损失和费用。</w:t>
      </w:r>
    </w:p>
    <w:p w14:paraId="4121F36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8.3试运行：初步验收通过后，根据各建设分项的完成情况，对具备进入试运行的分项，可由中标人申请进入并经采购人复核同意后进入试运行阶段，试运行周期为6个月，如所有性能指标达到招标文件及合同要求时，可按建设分项组织后续相关验收。试运行期间中标人应有专业技术人员进行现场技术支持，出现的任何问题，应由中标人及时处理解决。在试运行期间，由于应用软件/硬件质量等造成某些指标达不到要求，允许中标人更换、修复、修改等，直至连续无故障试运行满6个月。在全部达到要求时，双方签署最终验收文件。</w:t>
      </w:r>
    </w:p>
    <w:p w14:paraId="27AEE52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8.4最终验收：在货物安装调试完成后30天内，供需双方按照合同规定的验收标准进行验收，并以采购人验收意见为准。中标人应派代表参与验收过程，中标人未派代表参与或未在接到采购人验收意见3个工作日内书面提出异议的，视为中标人对验收意见无异议。最终验收合格后，双方签定验收合格报告。</w:t>
      </w:r>
    </w:p>
    <w:p w14:paraId="7593477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8.5如在验收过程中发现部分瑕疵可补救的，中标人应在7个工作日内，按照采购人的要求，采取补足、更换或退货等补救处理措施，并承担由此发生的一切损失和费用。</w:t>
      </w:r>
    </w:p>
    <w:p w14:paraId="5A9B43D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8.6验收过程发现产品性能和质量与招投标文件有严重偏差的，采购人有权退货并解除合同，中标人自行承担一切损失，并赔偿采购人合同总金额10%违约金。</w:t>
      </w:r>
    </w:p>
    <w:p w14:paraId="56C4A34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8.7若采购人在项目验收环节要求中标人提供所供产品由第三方检测机构出具带有检测资质标识及盖有检测专用章的合法有效的检测（检验）报告，投标人应提供。</w:t>
      </w:r>
    </w:p>
    <w:p w14:paraId="0EBF72A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8.8中标人申报验收前要提供完整、准确的竣工图纸（包括但不限于一期二期汇总图）、有关资料及相应数据文件（包括但不限于：产品验收标准（含产品合格证验收清单等），竣工图纸、产品技术说明书、各应用系统使用说明、设备安装调试资料。</w:t>
      </w:r>
    </w:p>
    <w:p w14:paraId="3871FCA4">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9.履约保证金、付款方式与条件（上表支付方式不一致的，均以此为准）</w:t>
      </w:r>
    </w:p>
    <w:p w14:paraId="1AAEC269">
      <w:pPr>
        <w:pStyle w:val="7"/>
        <w:ind w:left="42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9.1履约保证金</w:t>
      </w:r>
    </w:p>
    <w:p w14:paraId="2E7BB99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9.1.1是否收取履约保证金：是。</w:t>
      </w:r>
    </w:p>
    <w:p w14:paraId="530A158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9.1.2提交时间：中标人应在合同签订后30个日历日内缴纳合同价款的10%作为履约保证金。验收合格后，中标人收到审核后的项目决算金额全款时，中标人应同时缴纳决算金额的3%作为质保期内履约保证金。</w:t>
      </w:r>
    </w:p>
    <w:p w14:paraId="45BC2B1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9.1.3若中标人为中小企业，则履约保证金减半收取。</w:t>
      </w:r>
    </w:p>
    <w:p w14:paraId="51DC022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9.1.4提交形式：可采用银行转账或非现金形式的保函形式提交。若采用保函形式提交的，履约保函必须为银行开具的独立保函，有效期应至货物验收合格后九十日。中标人应确保履约保函在应担保期间内一直有效，如履约保函提前到期，中标人应自行在履约保函到期前14天内重新开具保函或办理保函延期手续或提供等额的履约保证金，否则采购人有权从应向中标人支付的任何一笔款项中扣除与履约保证金相等的金额作为履约保证金，履约保函到期后退还。</w:t>
      </w:r>
    </w:p>
    <w:p w14:paraId="4C9016B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9.1.5退还时间：在全部货物交货并验收合格后，采购人凭收到中标人出具的采购人未返还履约保证金金额的收款收据、合同复印件、验收合格报告等付款材料后，以转账方式无息退还10%履约保证金或者退还履约保函（中小企业减半）。在验收合格后满1年，且无合同纠纷情形下，采购人凭收到中标人出具的采购人未返还履约保证金金额的收款收据、合同复印件、售后服务合格证明以及签字确认质量保证期内运行正常等付款材料后，以转账方式无息退还3%履约保证金（中小企业减半）。</w:t>
      </w:r>
    </w:p>
    <w:p w14:paraId="740CEAEF">
      <w:pPr>
        <w:pStyle w:val="7"/>
        <w:ind w:left="42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9.2合同价款、付款方式与条件</w:t>
      </w:r>
    </w:p>
    <w:p w14:paraId="48CCA9D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9.2.1合同价款：</w:t>
      </w:r>
    </w:p>
    <w:p w14:paraId="48CAEC0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9.2.1.1本合同为固定单价合同，本项目按实结算，决算总价不得超过预算价。</w:t>
      </w:r>
    </w:p>
    <w:p w14:paraId="2E3DDF1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9.2.1.2项目增补应事先经采购人认可，实际安装数量或面积以采购人审核为准，增补部分造价最终以财政审核或采购人委托的第三方审核为准，增补部分造价不得超过中标价的10%。</w:t>
      </w:r>
    </w:p>
    <w:p w14:paraId="013322C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9.2.2按进度付款：</w:t>
      </w:r>
    </w:p>
    <w:p w14:paraId="0F28E1B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9.2.2.1合同生效且采购人收到中标人交付的为合同总金额10%或5%（中小企业）的等额履约保证金或保函、合同总金额</w:t>
      </w:r>
      <w:r>
        <w:rPr>
          <w:rFonts w:hint="default" w:ascii="仿宋" w:hAnsi="仿宋" w:eastAsia="仿宋" w:cs="仿宋"/>
          <w:sz w:val="24"/>
          <w:szCs w:val="24"/>
          <w:highlight w:val="none"/>
          <w:lang w:val="en-US"/>
        </w:rPr>
        <w:t>7</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%的增值税发票后，待采购人对提交的材料审核合格后，采购人以转账方式向中标人支付合同总金额</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0%的预付款。</w:t>
      </w:r>
    </w:p>
    <w:p w14:paraId="0BC4BAA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9.2.2.2中标人在采购人指定地点向采购人交付主机和主要配件，并经采购人初步验收后，凭收到经采购人签署到货清单确认表，待采购人对提交的材料审核合格后，采购人以转账方式向中标人支付</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0%的合同价款。</w:t>
      </w:r>
    </w:p>
    <w:p w14:paraId="30BCAD1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9.2.2.3全部货物交货并经最终验收合格后，且于采购人指定地点安装到位后，并经项目决算后（项目决算以财政审核或第三方审核或采购人审核为准），采购人凭收到中标人交付的余款发票（决算金额扣除已付款金额）、付款应提交的单证和文件以银行转账方式向中标人支付至决算金额的100%，乙方同时缴纳决算金额的3%作为质保期内履约保证金。</w:t>
      </w:r>
    </w:p>
    <w:p w14:paraId="3DCE701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9.2.3中标人要求付款应提交下列单证和文件：</w:t>
      </w:r>
    </w:p>
    <w:p w14:paraId="7D7D6C1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9.2.3.1金额为有关合同价款的正式发票（最终验收时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税点13%</w:t>
      </w:r>
      <w:r>
        <w:rPr>
          <w:rFonts w:hint="eastAsia" w:ascii="仿宋" w:hAnsi="仿宋" w:eastAsia="仿宋" w:cs="仿宋"/>
          <w:sz w:val="24"/>
          <w:szCs w:val="24"/>
          <w:highlight w:val="none"/>
        </w:rPr>
        <w:t>）。</w:t>
      </w:r>
    </w:p>
    <w:p w14:paraId="314AEFB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9.2.3.2制造厂家出具的质量合格证书（如有）。</w:t>
      </w:r>
    </w:p>
    <w:p w14:paraId="6DBC678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9.2.3.3采购人签署的验收合格文件。</w:t>
      </w:r>
    </w:p>
    <w:p w14:paraId="05691BC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9.2.3.4进口报关单、商检单等（如有）。</w:t>
      </w:r>
    </w:p>
    <w:p w14:paraId="0BB2A7E5">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10.售后服务要求</w:t>
      </w:r>
    </w:p>
    <w:p w14:paraId="7E69817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10.1投标人应按照本招标项目特点提供长期良好的售后服务，并在投标文件中提供详细具体的售后服务承诺条款及保证。</w:t>
      </w:r>
    </w:p>
    <w:p w14:paraId="7EF639D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10.2投标人应保证所供货物是在合同签订之日起一年内生产的全新的、未使用过的，并符合国家有关标准、制造厂标准及合同技术标准要求。使用中，如果发现货物的质量或规格与合同不符，或证实是有缺陷的，包括潜在的缺陷或使用不符合要求的材料等，投标人应在接到采购人通知后7个工作日内负责采用符合合同规定的规格、质量和性能要求的新零件、部件或货物来更换有缺陷的部分或修补缺陷部分，其费用由投标人负担。同时，投标人应按本合同规定，相应延长货物的质量保证期。</w:t>
      </w:r>
    </w:p>
    <w:p w14:paraId="190706E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10.3对需要定期检查、检验、校准、保养、维护的产品，投标人应提供相应维保服务，按照产品说明书的要求进行检查、检验、校准、保养、维护并记录，及时进行分析、评估，确保产品处于良好状态。</w:t>
      </w:r>
    </w:p>
    <w:p w14:paraId="6399DB66">
      <w:pPr>
        <w:pStyle w:val="7"/>
        <w:ind w:firstLine="48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10.4★本项目货物质保期要求为：货物经最终验收合格后至少5年。在质量保证期内运行发生故障时，投标人在接到采购人故障通知后1小时内应委派专业技术人员到现场免费提供咨询、维修和更换零部件等服务，并及时填写维修报告（包括故障原因、处理情况及采购人意见等）报采购人备案，若4小时内无法排除故障，则应先提供同档次备用机供采购人使用，其中发生一切费用由投标人承担。</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p w14:paraId="235E4AB3">
      <w:pPr>
        <w:pStyle w:val="7"/>
        <w:ind w:firstLine="48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10.5★项目初验完成至维保期结束，中标人须派驻至少1名工程师负责现场服务（届时提供工程师证书复印件及中标人在投标截止时间前六个月（不含投标截止时间的当月）中任一月份为其缴纳社保的证明文件），驻点时间为每周至少5天，每天至少7小时（或同医院上班时间）。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rPr>
        <w:t>投标人</w:t>
      </w:r>
      <w:r>
        <w:rPr>
          <w:rFonts w:hint="eastAsia" w:ascii="仿宋" w:hAnsi="仿宋" w:eastAsia="仿宋" w:cs="仿宋"/>
          <w:b/>
          <w:sz w:val="24"/>
          <w:szCs w:val="24"/>
          <w:highlight w:val="none"/>
          <w:lang w:eastAsia="zh-CN"/>
        </w:rPr>
        <w:t>对此需提供书面承诺（格式自拟）</w:t>
      </w:r>
      <w:r>
        <w:rPr>
          <w:rFonts w:hint="eastAsia" w:ascii="仿宋" w:hAnsi="仿宋" w:eastAsia="仿宋" w:cs="仿宋"/>
          <w:b/>
          <w:sz w:val="24"/>
          <w:szCs w:val="24"/>
          <w:highlight w:val="none"/>
        </w:rPr>
        <w:t>，否则投标无效。</w:t>
      </w:r>
      <w:r>
        <w:rPr>
          <w:rFonts w:hint="eastAsia" w:ascii="仿宋" w:hAnsi="仿宋" w:eastAsia="仿宋" w:cs="仿宋"/>
          <w:b/>
          <w:sz w:val="24"/>
          <w:szCs w:val="24"/>
          <w:highlight w:val="none"/>
          <w:lang w:eastAsia="zh-CN"/>
        </w:rPr>
        <w:t>）</w:t>
      </w:r>
    </w:p>
    <w:p w14:paraId="1D96E8D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10.6现场驻点工程师无法解决的问题，中标人应提供7×24小时热线电话、远程网络、原厂到场等服务方式。</w:t>
      </w:r>
    </w:p>
    <w:p w14:paraId="07E1534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10.7质保期结束后，投标人仍应负责合同标的物的终身维修服务，只收取相应配件费，且能长期提供维修配件，配件费用不得高于市场批发价及一级代理出货价。</w:t>
      </w:r>
    </w:p>
    <w:p w14:paraId="3B21E83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10.8投标人应提供保修电话，并投标文件中提供相关承诺，费用包含在投标报价中。</w:t>
      </w:r>
    </w:p>
    <w:p w14:paraId="48F335E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10.9投标人应终身提供故障及维修代码，费用包含在投标报价中。</w:t>
      </w:r>
    </w:p>
    <w:p w14:paraId="3A8D981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10.10如获中标，投标人应对本项目的设备提供机房拆移机及整改装修服务，转移机及整改装修费用包含在投标报价中。总包配合费按照安装费总额的1.5%计取。</w:t>
      </w:r>
    </w:p>
    <w:p w14:paraId="6C95856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10.11投标人认为有利于采购人的其他优惠条款应单独列明。</w:t>
      </w:r>
    </w:p>
    <w:p w14:paraId="72996D94">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11.报价要求</w:t>
      </w:r>
    </w:p>
    <w:p w14:paraId="12896B26">
      <w:pPr>
        <w:pStyle w:val="7"/>
        <w:ind w:firstLine="482"/>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11.1因系统不支持分项报价，投标人应根据本项目实际情况编辑投标分项报价表，在客户端系统中的“价格扣除优惠政策”模块上传完整的《投标文件报价部分》，未按要求提交完整的《投标文件报价部分》，由此产生的不利后果由投标人自行承担。</w:t>
      </w:r>
    </w:p>
    <w:p w14:paraId="542E587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11.2本项目为一个采购包完整采购项目。投标人必须本采购项目的所有内容及服务进行完整报价响应。拆分报价或不完整响应的将视为无效报价。</w:t>
      </w:r>
    </w:p>
    <w:p w14:paraId="5DC52C2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11.3本次投标报价应以人民币为货币单位，应分单价、小计和总价。</w:t>
      </w:r>
    </w:p>
    <w:p w14:paraId="3BD591D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11.4投标人所报报价在中标后合同实施过程中不因市场或政策价格的调整而增减。</w:t>
      </w:r>
    </w:p>
    <w:p w14:paraId="07B01FC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11.5本项目的投标总报价为所投货物经采购人验收合格并交付使用所有可能发生的费用，包括货物（含设备、配件、辅助材料）供应、备品材料费(维保期内设备/材料等的故障损坏维修）、包装、运输、装卸、二次搬运、吊装、保险费、采购保管、安装调试、验收（含货物检验检测）、操作人员培训、进口手续费用（若有）、移机费、税费以及售后服务等一切费用。</w:t>
      </w:r>
    </w:p>
    <w:p w14:paraId="0C343C6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11.6投标人应认真审核图纸及工程类清单的内容，漏报的单价或每单价报价中漏报、少报的费用，视为此项费用已隐含在投标报价中，中标后不得再向采购人收取任何费用。</w:t>
      </w:r>
    </w:p>
    <w:p w14:paraId="390BE06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11.7投标人对每一种货物只能有一个报价，采购单位不接受有选择的报价。</w:t>
      </w:r>
    </w:p>
    <w:p w14:paraId="599EDBA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11.8本项目设有最高控制价，控制价将以更正通知的形式发出，</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的报价超过最高控制价的，则其视为投标无效。</w:t>
      </w:r>
    </w:p>
    <w:p w14:paraId="002D46E4">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12.商务条件响应要求</w:t>
      </w:r>
    </w:p>
    <w:p w14:paraId="6454672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12.1投标人应根据商务条件要求及商务项评分条款提供相应的交付时间、售后服务、认证等证书、业绩经验，并按要求提供相应的佐证材料，未按要求提供的将可能导致不得分。</w:t>
      </w:r>
    </w:p>
    <w:p w14:paraId="1CAD5E2E">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13.知识产权及保密</w:t>
      </w:r>
    </w:p>
    <w:p w14:paraId="76805BD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13.1投标人须保障采购人在使用该货物或其任何一部分时不受到第三方关于侵犯专利权、商标权或工业设计权等知识产权的指控。如果任何第三方提出侵权指控与采购人无关，投标人须与第三方交涉并承担可能发生的责任与一切费用。如采购人因此而遭致损失的，投标人应赔偿该损失。</w:t>
      </w:r>
    </w:p>
    <w:p w14:paraId="5EDFB54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供需双方有责任对本合同及通过该合同、服务获得的相关资料予以保密，未经一方事先书面同意，另一方不得将双方的合作协议具体内容及相关内容披露给任何第三方。投标人对在合同实施过程中可能获知的采购人信息系统资料负有保密责任，在任何时候不得给予泄露。</w:t>
      </w:r>
    </w:p>
    <w:p w14:paraId="223EA6B0">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14.违约责任</w:t>
      </w:r>
    </w:p>
    <w:p w14:paraId="7F252D9C">
      <w:pPr>
        <w:pStyle w:val="7"/>
        <w:ind w:left="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14.1采购人违约责任：</w:t>
      </w:r>
    </w:p>
    <w:p w14:paraId="6918B91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14.1.1采购人无正当理由拒收中标人交付的合格产品的，自采购人拒收之日起，采购人每日应向中标人偿付拒收货款总额0.05%的违约金。</w:t>
      </w:r>
    </w:p>
    <w:p w14:paraId="5688CF4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14.1.2采购人无故逾期验收和办理合同款项支付手续的,采购人每日应按逾期付款总额的0.05%向中标人支付违约金。</w:t>
      </w:r>
    </w:p>
    <w:p w14:paraId="4E1AC8E9">
      <w:pPr>
        <w:pStyle w:val="7"/>
        <w:ind w:left="4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14.2中标人违约责任</w:t>
      </w:r>
    </w:p>
    <w:p w14:paraId="504A962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14.2.1除不可抗力因素外，中标人逾期交付货物的，每逾期一天，中标人应按逾期交付部分总额的0.5%向采购人支付逾期履行违约金，中标人还应向采购人支付合同总价的10%的违约金，采购人有权从待付货款中直接扣除该费用而无需取得采购人同意。中标人无正当理由逾期超过约定日期30日仍不能交付的，视为“中标人不按合同约定履约”；</w:t>
      </w:r>
    </w:p>
    <w:p w14:paraId="335FA55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14.2.2中标人所交付的产品不符合合同规定及《采购文件》规定标准的，采购人有权拒收，中标人愿意更换产品但逾期交货的，按中标人逾期交货处理。中标人拒绝更换产品的，视为“中标人不按合同约定履约”；</w:t>
      </w:r>
    </w:p>
    <w:p w14:paraId="4A0F4AB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14.2.3中标人不按合同约定履约的，采购人可以解除采购合同，并对中标人已缴纳的履约保证金作“不予退还”处理；采用保函形式的，采购人有权直接将保函进行兑现，兑现款项作“不予退还”处理。中标人还应向采购人支付合同总价的30%违约金。违约金不足以赔偿里方所受损失的，中标人还应赔偿因此给采购人造成的所有直接损失和间接损失；</w:t>
      </w:r>
    </w:p>
    <w:p w14:paraId="0C52B8C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14.2.4因产品引发医疗纠纷、投诉、患者损害或造成采购人损失的，中标人应自行处理相关投诉、纠纷等，并承担相应的法律责任。如涉及采购人诊疗行为、维护使用产品等争议的，采购人配合中标人处理。</w:t>
      </w:r>
    </w:p>
    <w:p w14:paraId="638347B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14.2.5供货时中标人应提供与货物制造商签订的原厂售后服务协议，设备原厂售后服务时间应不少于中标人磋商响应时承诺提供的质保期，如未提供或提供的原厂售后服务时间不足所承诺提供的质保期的，采购人有权向中标人收取合同货物金额20%的违约金，且单方面解除合同。</w:t>
      </w:r>
    </w:p>
    <w:p w14:paraId="7C8F34B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14.3其他</w:t>
      </w:r>
    </w:p>
    <w:p w14:paraId="4A683D2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任何一方更换项目联系人未及时通知相对方，并影响本合同履行或造成损失的，违约方应承担相应的违约责任。</w:t>
      </w:r>
    </w:p>
    <w:p w14:paraId="56000B68">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15.违约终止合同</w:t>
      </w:r>
    </w:p>
    <w:p w14:paraId="026B0EB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15.1除上述约定情形外，在采购人发出的违约通知后30天内（或经采购人书面确认的更长时间内）仍未纠正其任何一项违约行为，采购人均有权终止本合同，中标人应承担以下责任：</w:t>
      </w:r>
    </w:p>
    <w:p w14:paraId="34B1469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15.1.1中标人除依照本章15.违约责任约定承担违约金责任外，造成采购人损失的，仍应赔偿采购人的损失。</w:t>
      </w:r>
    </w:p>
    <w:p w14:paraId="3749E15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15.1.2如有支付进度款的，所付款项在合同终止后7个工作日内无息退还（转账）给采购人，超过期限未退还（转账）给采购人的，中标人应按未退还（转账）部分每日0.05%支付违约金，采购人所付款项仍须全额退还。该项违约金与中标人依照本章15.违约责任需承担的违约责任可同时适用。</w:t>
      </w:r>
    </w:p>
    <w:p w14:paraId="1FAE9BD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15.1.3履约保证金作“不予退还”处理；采用保函形式的，采购人有权直接将保函进行兑现，兑现款项作“不予退还”处理。</w:t>
      </w:r>
    </w:p>
    <w:p w14:paraId="6C867AB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15.1.4对于被采购人行使单方解除权而解约的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，采购人有权纳入采购黑名单管理。</w:t>
      </w:r>
    </w:p>
    <w:p w14:paraId="3931271B">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16.廉洁条款</w:t>
      </w:r>
    </w:p>
    <w:p w14:paraId="4618D48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16.1投标时，投标人应签署《廉洁告知书》（格式详见补充条款中《廉洁告知书》）。</w:t>
      </w:r>
    </w:p>
    <w:p w14:paraId="3C397B5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16.2投标人承诺严格按照《廉洁告知书》相关内容履行，不向采购人及相关人员直接或间接进行商业贿赂。</w:t>
      </w:r>
    </w:p>
    <w:p w14:paraId="5A1CE1B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16.3投标人发现采购人工作人员有任何索贿行动的，应向有关行业主管部门或纪检监察部门反映情况。</w:t>
      </w:r>
    </w:p>
    <w:p w14:paraId="4D30050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16.4投标人违反《廉洁告知书》相关内容的，严格按《廉洁告知书》规定承担相关责任。</w:t>
      </w:r>
    </w:p>
    <w:p w14:paraId="455F114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16.5如投标人被列入商业贿赂不良记录，则严格按照《国家卫生计生委关于建立医药购销领域商业贿赂不良记录的规定》（国卫法制发【2013】50号）相关规定处理。</w:t>
      </w:r>
    </w:p>
    <w:p w14:paraId="67156DF2">
      <w:pPr>
        <w:pStyle w:val="7"/>
        <w:ind w:left="42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17.其他事项</w:t>
      </w:r>
    </w:p>
    <w:p w14:paraId="3559679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17.1中标人义务及责任：</w:t>
      </w:r>
    </w:p>
    <w:p w14:paraId="19EB093A">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（1）合同设备、材料产品、安装质量必须符合国家现行有关设备制造质量、安装质量的规范要求及招标文件相关要求。</w:t>
      </w:r>
    </w:p>
    <w:p w14:paraId="25EA694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（2）合同设备到货后，在预计安装时间前中标人应负责派人员前往工地查验土建安装条件，并依据合同规定提供咨询服务。合同签订后中标人需派人员参加项目监理例会,做好面洽等相关工作。</w:t>
      </w:r>
    </w:p>
    <w:p w14:paraId="3188C68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（3）合同设备的拆箱清点（需采购人在场）。</w:t>
      </w:r>
    </w:p>
    <w:p w14:paraId="4F3A13EA">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（4）负责合同设备的现场卸货及吊装工作。</w:t>
      </w:r>
    </w:p>
    <w:p w14:paraId="0443D3BA">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（5）按照合同设备安装规范和标准完成安装、调试工作。</w:t>
      </w:r>
    </w:p>
    <w:p w14:paraId="2396AB41">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（6）合同签订后，10个日历天内，中标人须根据工程已制订的总体计划，向监理工程师、采购人等单位提供该项目的施工总进度计划、资金使用计划、主要设备材料进场计划等（包括年度计划及季度计划）。</w:t>
      </w:r>
    </w:p>
    <w:p w14:paraId="127C9E46">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中标人提供项目组成员名单、提供的项目人员管理班子必须驻场。项目组成员名单必须列明本项目的项目负责人。关于项目负责人每月在施工现场的时间要求：不少于当月实际施工天数的80%，项目负责人离开现场时应当作好工作安排。中标人未提交劳动合同，以及没有为项目负责人缴纳社会保险证明的违约责任：采购人有权要求更换项目负责人，并有权按照100000元/人次对中标人进行处罚。项目负责人未经批准，擅自离开施工现场的违约责任：按照2000元/次承担违约金。中标人擅自更换项目负责人的违约责任：按照100000元/次承担违约金。中标人无正当理由拒绝更换项目负责人的违约责任：按照100000元/次承担违约金。中标人施工人员的食、宿费用以及施工用水、用电费用由中标人承担。</w:t>
      </w:r>
    </w:p>
    <w:p w14:paraId="1E0364E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（8）遵守施工现场有关规章制定，服从采购人工程协调，妥善处理与其他施工单位的关系。</w:t>
      </w:r>
    </w:p>
    <w:p w14:paraId="29CD44E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（9）办理中标人施工人员的劳动保险和人身保险。在本合同履行过程中，全权负责施工安全，做好安全防护工作，消除安全隐患，如因中标人原因造成安全责任事故，由中标人承担全部法律责任。</w:t>
      </w:r>
    </w:p>
    <w:p w14:paraId="1DE5873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（10）本合同履行过程中，因中标人原因造成采购人双方或任何第三方人身损害或财产损失的，由中标人承担全部赔偿责任。</w:t>
      </w:r>
    </w:p>
    <w:p w14:paraId="4DADAC9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（11）对于合同设备的开工、报备及验收手续，除厦门市建设局要求必须由采购人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如有：</w:t>
      </w:r>
      <w:r>
        <w:rPr>
          <w:rFonts w:hint="eastAsia" w:ascii="仿宋" w:hAnsi="仿宋" w:eastAsia="仿宋" w:cs="仿宋"/>
          <w:sz w:val="24"/>
          <w:szCs w:val="24"/>
          <w:highlight w:val="none"/>
        </w:rPr>
        <w:t>土建监理单位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汇集办理外，中标人同意代采购人向相关部门办理开工、报备及验收手续。</w:t>
      </w:r>
    </w:p>
    <w:p w14:paraId="04660EF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（12）负责合同设备的验收工作。</w:t>
      </w:r>
    </w:p>
    <w:p w14:paraId="1478FB9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合同签订后中标人应在接到采购人通知后进场，办理协调相关配合工作，并根据现场工作面穿插管道及预埋安装，主要设备进场时间须满足整个工程进度计划。中标人投标时已踏勘现场，其投标报价及投标工期已充分考虑施工现场条件。所需费用已考虑在投标总报价中，中标人不得以不完全具备施工条件为由要求更改合同价和施工工期。</w:t>
      </w:r>
    </w:p>
    <w:p w14:paraId="06A8ECA4">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（14）中标人应遵守采购人的相关管理制度，服从采购人在</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的协调、指挥管理，总进度协调、工序交叉、施工质量的检查和验收、施工安全和文明施工的检查落实、场地、材料堆放场所安排及内业资料的收集和归档等。遵守施工现场的统一规定，承担因自身原因在质量、进度、施工安全、文明施工方面而造成的损失。</w:t>
      </w:r>
    </w:p>
    <w:p w14:paraId="7D51E45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中标人根据工程特点和工程建设总体进度要求，科学合理地安排工程进度计划、设备进场计划、专业交叉施工顺序。中标人必须充分考虑与其他各专业工程施工单位之间的密切配合，所需费用已综合计入合同总价中。中标人应尽早在进行项目隐蔽工作或</w:t>
      </w:r>
      <w:r>
        <w:rPr>
          <w:rFonts w:hint="eastAsia" w:ascii="仿宋" w:hAnsi="仿宋" w:eastAsia="仿宋" w:cs="仿宋"/>
          <w:sz w:val="24"/>
          <w:szCs w:val="24"/>
          <w:highlight w:val="none"/>
          <w:lang w:eastAsia="zh-CN"/>
        </w:rPr>
        <w:t>进场前</w:t>
      </w:r>
      <w:r>
        <w:rPr>
          <w:rFonts w:hint="eastAsia" w:ascii="仿宋" w:hAnsi="仿宋" w:eastAsia="仿宋" w:cs="仿宋"/>
          <w:sz w:val="24"/>
          <w:szCs w:val="24"/>
          <w:highlight w:val="none"/>
        </w:rPr>
        <w:t>通知其他专业施工单位对相关专业有影响的事项，如预埋预留、技术复核工作等，并给予足够的时间去完成此项工作，因中标人的忽视、失误造成其他中标人或采购人的损失，中标人须予以补偿。</w:t>
      </w:r>
    </w:p>
    <w:p w14:paraId="2C058D2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中标人材料设备须作适当的保护措施，并承担保管责任。中标人应以满足正常施工进度为前提，及时做好所需材料设备的采购准备工作，迅速而有序地将所采购的材料运至工地现场，并承担保管、试验、试样及检测等费用。因中标人的原因致使其他专业工程停工或窝工，应赔偿损失。</w:t>
      </w:r>
    </w:p>
    <w:p w14:paraId="014C7486">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w:t>
      </w:r>
      <w:r>
        <w:rPr>
          <w:rFonts w:hint="eastAsia" w:ascii="仿宋" w:hAnsi="仿宋" w:eastAsia="仿宋" w:cs="仿宋"/>
          <w:sz w:val="24"/>
          <w:szCs w:val="24"/>
          <w:highlight w:val="none"/>
          <w:lang w:val="en-US" w:eastAsia="zh-CN"/>
        </w:rPr>
        <w:t>如</w:t>
      </w:r>
      <w:r>
        <w:rPr>
          <w:rFonts w:hint="eastAsia" w:ascii="仿宋" w:hAnsi="仿宋" w:eastAsia="仿宋" w:cs="仿宋"/>
          <w:sz w:val="24"/>
          <w:szCs w:val="24"/>
          <w:highlight w:val="none"/>
        </w:rPr>
        <w:t>发现图纸与现场不符或与其他专业矛盾，应及时提出，由中标人、采购人和其他有关单位参加，按确认的指令施工，否则由此造成其他项目施工单位的损失，中标人须予以补偿。</w:t>
      </w:r>
    </w:p>
    <w:p w14:paraId="7D16B4E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（18）提供工地公共区域的照明、围栏设施、现场周边的安全文明施工工作；中标人负责其工作区域照明、围栏设施、现场周边的安全及文明施工工作，并服从</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的总体安全管理对范围内的施工安全承担全部责任。</w:t>
      </w:r>
    </w:p>
    <w:p w14:paraId="48B3E58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可能存在因局部建筑平面变更，造成布管、布线及末端设备等相应变更，中标人应按采购人的要求，主动配合调整施工。</w:t>
      </w:r>
    </w:p>
    <w:p w14:paraId="5C218A1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（20）</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所有管道等相应洞口均由中标人自行负责封堵，中标人因敲打而涉及其他专业施工队伍修补问题产生的费用由中标人自行承担，上述费用均含在合同总价中，确因采购人变更而发生的相关费用由采购人协调参建各方实事求是的解决。</w:t>
      </w:r>
    </w:p>
    <w:p w14:paraId="67DBB89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因工期需要可能采用临时用电分批次进行运行、测试；也可能采用正式用电进行运行、测试，中标人应服从采购人的安排进行运行、测试。运行、测试的产生的电费等费用均由中标人负责。</w:t>
      </w:r>
    </w:p>
    <w:p w14:paraId="12F90D1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中标人的施工组织中应充分考虑施工期间的交通组织、建筑废土砂石、材料运输过程中的运输管理、运输距离、安全问题、施工干扰问题，制定社会交通组织方案以及建筑废土的处置等，按照制定的详细保证措施建立安全生产责任制并在施工中予以实施，由此所发生的一切费用中标人均已计入在相关项目的单价和合同总价中，采购人不另行支付。</w:t>
      </w:r>
    </w:p>
    <w:p w14:paraId="13BFF27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场地</w:t>
      </w:r>
      <w:r>
        <w:rPr>
          <w:rFonts w:hint="eastAsia" w:ascii="仿宋" w:hAnsi="仿宋" w:eastAsia="仿宋" w:cs="仿宋"/>
          <w:sz w:val="24"/>
          <w:szCs w:val="24"/>
          <w:highlight w:val="none"/>
        </w:rPr>
        <w:t>的清洁卫生的要求：A.中标人必须按照项目所在地有关部门颁发的文明施工管理规定以及采购人《项目施工管控责任手册》的要求执行，并承担相关费用。B.采购人将不定期地进行检查，若检查不合格的，中标人应当立即进行整改，且采购人有权按文明施工违约处罚标准扣除中标人违约金。C.若中标人整改不合格，采购人有权按整改时的现行价格委托其他单位完成整改，发生的费用由中标人承担。</w:t>
      </w:r>
    </w:p>
    <w:p w14:paraId="08820BE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项目</w:t>
      </w:r>
      <w:r>
        <w:rPr>
          <w:rFonts w:hint="eastAsia" w:ascii="仿宋" w:hAnsi="仿宋" w:eastAsia="仿宋" w:cs="仿宋"/>
          <w:sz w:val="24"/>
          <w:szCs w:val="24"/>
          <w:highlight w:val="none"/>
        </w:rPr>
        <w:t>中所需的临时用地、占道等均由中标人负责办理并承担相应费用（包括因破坏需要原样恢复的费用），中标人在</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应采取一切措施防止对施工现场及其周边地区的污染，并根据环保部门的规定制定保护方案予以实施。其费用中标人已在投标报价中综合考虑，采购人不再另行支付。中标人应保障采购人免于承担由此引起的索赔、诉讼或其他费用。中标人不能滥用或破坏其他专业乙方的设施。对采购人提供的相关设施不得浪费、损坏，更不能挪作他用，如有损失照实赔偿并从工程款中扣回。</w:t>
      </w:r>
    </w:p>
    <w:p w14:paraId="4676C446">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中标人必须充分考虑本地区电力紧张、限电、电力设施维护和损坏抢修停电等原因对工程施工所造成的影响，配备足够的发电设备确保施工用电的供应，所发生全部费用由中标人在其投标报价时已综合考虑，采购人将不予以增补，中标人对采购人没有工期变更和增加费用或索赔的权利。</w:t>
      </w:r>
    </w:p>
    <w:p w14:paraId="561E11D2">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移交后，中标人应立即从签发了移交证书的那部分工地上将所有有关的中标人的设备、多余材料、垃圾及各种临时工程清除、移走，并使这一部分工程及工地保持清洁，符合采购人要求，同时承担由此发生的费用。在质保期结束之前，为完成质保期内的义务，将其需要的材料、中标人的设备、临时设施保留在采购人指定的位置。</w:t>
      </w:r>
    </w:p>
    <w:p w14:paraId="3F0A7AC5">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）中标人应妥善处理当地关系。不得以当地干扰等向采购人提出工期及经济索赔。</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为重点工程，中标人应按采购人要求配合做好上级的各项检查、接待工作，中标人应综合考虑以上因素。</w:t>
      </w:r>
    </w:p>
    <w:p w14:paraId="158EF3F1">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）中标人应充分考虑现场实际场地情况，对</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中可能产生的所有材料与机械设备的二次搬运费用、需利用地下室顶板作为材料设备堆场使用造成结构加固变更调整等由此产生的一切费用，均由中标人承担。</w:t>
      </w:r>
    </w:p>
    <w:p w14:paraId="10E8655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29</w:t>
      </w:r>
      <w:r>
        <w:rPr>
          <w:rFonts w:hint="eastAsia" w:ascii="仿宋" w:hAnsi="仿宋" w:eastAsia="仿宋" w:cs="仿宋"/>
          <w:sz w:val="24"/>
          <w:szCs w:val="24"/>
          <w:highlight w:val="none"/>
        </w:rPr>
        <w:t>）中标人应充分考虑大型设备进场的运输要求，运输方案应确保设备运输过程能满足整个通道区域结构荷载的要求，由于大型设备运输产生的管线拆装费用和相关措施费用，均由中标人承担。</w:t>
      </w:r>
    </w:p>
    <w:p w14:paraId="6A2839E2">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本项目主体建筑的结构、建筑、二次装修和机电专业等已开始施工或者施工完成，中标人的设备进场运输、安装、验收直至交付采购人使用的过程中不得对上述已施工安装完成的各专业造成移动、损坏或者破坏，如果中标人必须移动、损坏或者破坏的，由此产生的一切费用由中标人自行承担并包含在合同价中，中标人对此已充分了解。中标人已充分考虑现场已施工情况，合同价已包含但不限于所有孔洞、开槽、成品保护、塞缝、粉刷等，均由中标人包干，采购人不再另行支付。现场成品保护由中标人负责，若有损坏须负责恢复。成品保护包含中标人负责的区域及施工使用的通道区域等，费用由中标人包干，中标人应综合考虑，采购人不再另行支付。</w:t>
      </w:r>
    </w:p>
    <w:p w14:paraId="44C949D4">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）采购人移交的施工现场已具备施工条件，同时采购人所提供的</w:t>
      </w:r>
      <w:r>
        <w:rPr>
          <w:rFonts w:hint="eastAsia" w:ascii="仿宋" w:hAnsi="仿宋" w:eastAsia="仿宋" w:cs="仿宋"/>
          <w:sz w:val="24"/>
          <w:szCs w:val="24"/>
          <w:highlight w:val="none"/>
          <w:lang w:eastAsia="zh-CN"/>
        </w:rPr>
        <w:t>场地</w:t>
      </w:r>
      <w:r>
        <w:rPr>
          <w:rFonts w:hint="eastAsia" w:ascii="仿宋" w:hAnsi="仿宋" w:eastAsia="仿宋" w:cs="仿宋"/>
          <w:sz w:val="24"/>
          <w:szCs w:val="24"/>
          <w:highlight w:val="none"/>
        </w:rPr>
        <w:t>足以保证中标人分段作业或单项作业，视为具备施工条件，中标人不得以没有全部移交为由向采购人提出任何费用和工期索赔。</w:t>
      </w:r>
    </w:p>
    <w:p w14:paraId="2A9A979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）施工现场所需的水、电已具备施工条件。电讯由采购人配合中标人与电讯部门联系，水、电、通讯费由中标人承担。</w:t>
      </w:r>
    </w:p>
    <w:p w14:paraId="2A50004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）中标人需充分考虑第三方检测（需由具有相关资质的检测公司进行检测，并需为本项目提供合格的第三方检测报告）及其它各种检测费用，且这些费用均已包含在相关项目合同总价中，采购人不再另行支付。</w:t>
      </w:r>
    </w:p>
    <w:p w14:paraId="06EAB83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）中标人负责</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的深化设计，包括但不限于对设计不合理、设计深度不足或设计错漏等进行的设计修改、调整及深化，且该深化设计必须报原设计单位、采购人和相关部分审核通过后方可施工，深化设计所需的设计费用及因深化设计而产生的施工造价调整中标人已包含在合同价中，结算时费用不做调整。</w:t>
      </w:r>
    </w:p>
    <w:p w14:paraId="7F07DF9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）管道穿楼板、梁的位置、原主体未预留的位置属于中标人的施工范围。管道末端收口，由中标人提供取孔定位图纸，中标人协调精装修单位配合取孔，负责收口。管路位置服从</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要求，不再增加费用。</w:t>
      </w:r>
    </w:p>
    <w:p w14:paraId="1BE51A64">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）中标人在工程竣工验收后，还应配合其他设备安装单位完成各系统的安装调试工作。</w:t>
      </w:r>
    </w:p>
    <w:p w14:paraId="4E33CAB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）本合同设备必须满足消防规范要求，确保通过消防验收。若因中标人原因导致本项目消防验收不通过，中标人必须进行整改直至通过为止，由此产生的费用由中标人承担，并承担因此给采购人造成的损失。</w:t>
      </w:r>
    </w:p>
    <w:p w14:paraId="4CFCD76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38</w:t>
      </w:r>
      <w:r>
        <w:rPr>
          <w:rFonts w:hint="eastAsia" w:ascii="仿宋" w:hAnsi="仿宋" w:eastAsia="仿宋" w:cs="仿宋"/>
          <w:sz w:val="24"/>
          <w:szCs w:val="24"/>
          <w:highlight w:val="none"/>
        </w:rPr>
        <w:t>）中标人发现采购人工作人员有任何索贿行动的，应向有关行业主管部门或纪检监察部门反映情况。</w:t>
      </w:r>
    </w:p>
    <w:p w14:paraId="3B3A286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39</w:t>
      </w:r>
      <w:r>
        <w:rPr>
          <w:rFonts w:hint="eastAsia" w:ascii="仿宋" w:hAnsi="仿宋" w:eastAsia="仿宋" w:cs="仿宋"/>
          <w:sz w:val="24"/>
          <w:szCs w:val="24"/>
          <w:highlight w:val="none"/>
        </w:rPr>
        <w:t>）如中标人被列入商业贿赂不良记录，则严格按照《国家卫生计生委关于建立医药购销领域商业贿赂不良记录的规定》（国卫法制发〔2013〕50号）相关规定处理。</w:t>
      </w:r>
    </w:p>
    <w:p w14:paraId="4ABB0868">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17.2出入场要求：</w:t>
      </w:r>
    </w:p>
    <w:p w14:paraId="0A57DD76">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（1）中标人应在工程师认为适当时间内持作业人员及现场管理人员的名单及相应照片提交给现场保卫部，由其统一制作入场证。</w:t>
      </w:r>
    </w:p>
    <w:p w14:paraId="75ECD74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（2）作业人员及管理人员进入现场或任何部位要求出示入场证而未能出示时，将被拒绝进入现场。</w:t>
      </w:r>
    </w:p>
    <w:p w14:paraId="0659F2F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（3）在任何时候，因持证人停止雇用时，上述颁发的任何入场证应被迫停止使用。</w:t>
      </w:r>
    </w:p>
    <w:p w14:paraId="1B4CE05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（4）中标人须提供安全、保洁、噪声等防患措施以及施工计划安排措施。项目实施过程中负责现场卫生清理，项目完成后需保证现场卫生干净整洁。</w:t>
      </w:r>
    </w:p>
    <w:p w14:paraId="0972E1B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采购人工程师和任何被其授权的人员应在任何时候有权进入工程现场以及存放或储备材料和成品的一切车间和场所，或任何分包商供应材料或成品的场所，并且当需要时，应使工程师和其授权人员有权进入取得工程材料或成品的其他车间或来源地，同时要求不应在工程所在地存放不合格品或与工程无关的材料、设备、构配件等。</w:t>
      </w:r>
    </w:p>
    <w:p w14:paraId="5F10404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（6）采购人工程师可以随时撤回他对施工现场项目管理人员的批准，如果此批准被撤回，在接到书面撤回通知后应立刻调离更换该人员，不得雇用该人员担任该现场的任何职务。</w:t>
      </w:r>
    </w:p>
    <w:p w14:paraId="52F24D7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17.3</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管理</w:t>
      </w:r>
    </w:p>
    <w:p w14:paraId="1AB7613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人已完成了采购人应承担的工作后，无正当理由不开工或总监理工程师因原因导致不予签发开工令，视为违约，工期不予顺延。由于的原因造成工期延误，除应承担其违约责任外，还应承担后续工程的因工期延误造成的经济损失。</w:t>
      </w:r>
    </w:p>
    <w:p w14:paraId="7D90EF12">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开工前二日，必须在施工现场配置经法定部门检定的检查工具和</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建设相关规范、规程，并接受监理单位检查。如未按配置齐全，则中标人必须按每件每天2000元人民币支付违约金。</w:t>
      </w:r>
    </w:p>
    <w:p w14:paraId="60713071">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 中标人在施工合同签订后，经监理单位、采购人共同认定的施工组织设计中明确的机械设备进场时间前一个月，中标人应向采购人提供根据施工组织设计中拟用机械设备产权证明或租赁合同，每延期一天，中标人应向采购人支付5000元人民币的违约金。</w:t>
      </w:r>
    </w:p>
    <w:p w14:paraId="3A357822">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（4）在工程实施期间，未经监理工程师批准，中标人进场必用的施工机械和质检仪器不得撤离现场，否则采购人将按1000元/台•天从合同价中扣除违约金，直到设备重新进场为止。</w:t>
      </w:r>
    </w:p>
    <w:p w14:paraId="5156E1E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（5）中标人在递交投标书之前，已进行现场考察，并已经查得以下方面：</w:t>
      </w:r>
    </w:p>
    <w:p w14:paraId="6AF1D1F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①现场地形、地貌和特征；</w:t>
      </w:r>
    </w:p>
    <w:p w14:paraId="31C2AD2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②实施和完成本合同工程及其缺陷的修复的工作范围、性质和所需要的材料采购和加工；进场道路和水、电、食宿供应条件；</w:t>
      </w:r>
    </w:p>
    <w:p w14:paraId="762FF35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③当地乡规民约和风俗习惯；</w:t>
      </w:r>
    </w:p>
    <w:p w14:paraId="6411D5E8">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④中标人已取得对工程施工有影响或起作用的风险、意外等必要的资料。</w:t>
      </w:r>
    </w:p>
    <w:p w14:paraId="4080028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⑤建筑废土的处置。</w:t>
      </w:r>
    </w:p>
    <w:p w14:paraId="394D766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中标人不得将其承包的全部工程转包给他人，也不得将其承包的全部工程肢解以后以分包的名义分别转包给他人。否则，采购人除了有权解除合同外，还有权要求中标人支付其违法转包部分的工程款的10%的违约金。</w:t>
      </w:r>
    </w:p>
    <w:p w14:paraId="430C739D">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中标人必须按厦门市现行有关规定及采购人《项目施工管控责任手册》相关要求制定切实可行的质量、安全、文明施工措施，确保安全文明施工达到标准化工地标准。除此之外，中标人还应遵守以下规定：中标人生活设施不得设置在施工现场，由中标人自行在场外解决，增加的费用已在合同报价中综合考虑。生活设施建设前，中标人必须将建设方案报监理及采购人审查同意；工地办公室采用厂家定型生产的活动房；临时设施建设前，中标人必须将建设方案报监理及采购人审查同意；仓库和施工现场必须设置消防器材，易燃材料应设专用仓库保管；中标人必须根据工程大小，在施工工地设若干环保流动厕所，同时中标人必须与环卫部门签订协议，定期将生活垃圾清理外运并清理流动厕所；所有脚手架及模板支撑均采用钢管。脚手架钢支撑接触的地面要用砼进行硬化处理，硬化处理所增加的费用已在合同报价的措施费中综合考虑，采购人不再对该费用给予增补。</w:t>
      </w:r>
    </w:p>
    <w:p w14:paraId="7DBB01E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中标人对上述临时设施的毁损灭失承担风险责任和复建责任。</w:t>
      </w:r>
    </w:p>
    <w:p w14:paraId="2EB8D4C4">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（8）如有以下情况之一发生，在监理工程师发出第一次监理通知单后2日内拒不整改导致发出第二次监理通知单的，采购人有权从应向中标人支付的工程款中直接扣除违约金10000元人民币/次，直至解除合同：</w:t>
      </w:r>
    </w:p>
    <w:p w14:paraId="0E9DF29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a、总监理工程师已签发开工令，而中标人不开工的；</w:t>
      </w:r>
    </w:p>
    <w:p w14:paraId="084EC5E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b、中标人在</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中擅自停工、窝工；</w:t>
      </w:r>
    </w:p>
    <w:p w14:paraId="11D7845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c、中标人在</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中明显违背合同约定、违反强制性标准或施工操作规程、工程质量明显无法达到合格要求，经监理工程师要求整改却无正当理由拒绝整改的。</w:t>
      </w:r>
    </w:p>
    <w:p w14:paraId="3FE39895">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（9）在</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中标人违反强制性标准或施工操作规程、工序未经检查确认合格擅自隐蔽、使用不合格材料、构配件或未经报验确认即使用的、擅自采用未经检查认可的替换材料、在分部分项工程报验后被发现存在明显质量缺陷等情形之一而被监理工程师发出监理通知单的，除必须按规定整改到位之外，采购人还有权从其合同价款中扣除违约金500-2000元人民币/次；中标人因违反强制性标准、施工操作规程等原因给采购人造成的损失，中标人应承担全部赔偿责任。</w:t>
      </w:r>
    </w:p>
    <w:p w14:paraId="0A9DFAC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（10）在</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施工全过程中中标人须按采购人的《项目施工管控责任手册》内容和要求履行自身职责，开展、落实各项工作，并将精细化管理理念具体实施到</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的每个环节当中，《项目施工管控责任手册》以采购人提供的为准，并作为本合同协议的一部分，具有相同的法律效力。</w:t>
      </w:r>
    </w:p>
    <w:p w14:paraId="04F3BF9B">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（11）施工现场管理要求</w:t>
      </w:r>
    </w:p>
    <w:p w14:paraId="2B911A28">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 现场安全防护设施要求：按现行国家规范及厦门市建筑工程文明措施费条例规定执行。</w:t>
      </w:r>
    </w:p>
    <w:p w14:paraId="6FC197C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2）水土保持与环境要求：按现行国家和厦门市有关规定执行。</w:t>
      </w:r>
    </w:p>
    <w:p w14:paraId="1A2E9125">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3）文明施工要求：按现行国家和厦门市有关规定执行。</w:t>
      </w:r>
    </w:p>
    <w:p w14:paraId="3C7E77A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 施工机具进场要求：中标人必须按照经监理人批准的施工组织设计或施工方案，根据工程施工进 度需要，组织施工机具进场，确保满足施工要求。中标人的施工机具进场后，应及时向监理人报备。未经监理人的批准同意，中标人的施工机具不得擅自离场。中标人的施工机具应按照监理人和采购人指定的场所摆放和保管，不得影响他人的施工活动，不得造成安全问题。</w:t>
      </w:r>
    </w:p>
    <w:p w14:paraId="0049E2B2">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17.4工程照管与成品、半成品保护</w:t>
      </w:r>
    </w:p>
    <w:p w14:paraId="4BE6181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中标人负责照管工程及工程相关的材料、工程设备的起始时间：</w:t>
      </w:r>
    </w:p>
    <w:p w14:paraId="104C7A11">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（1）从工程开工之日到工程竣工或采购人接管工程为止，中标人应该对整个</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的照管负全部责任，并且应对任何施工设备、临时建筑和材料以及现场的任何物品或放于现场的为其实施目的的任何事项的照管负完全责任。</w:t>
      </w:r>
    </w:p>
    <w:p w14:paraId="5F840E3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（2）如果专业工程或其任何部分或任何施工设备、临时建筑、材料和任何设于现场的物品出现破坏、丢失或损伤，无论出于任何原因，中标人应自费并以尽可能快的速度修复此类破坏、丢失或损伤。</w:t>
      </w:r>
    </w:p>
    <w:p w14:paraId="233237A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如果在中标人负责的照管期内，由于不可抗力以外的原因导致中标人照管工程的任何部分损失或损坏，由中标人负责修补、并承担经济损失，并通过修补使该工程或设备质量达到该专业合同的有关规定和要求。</w:t>
      </w:r>
    </w:p>
    <w:p w14:paraId="2444DA8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（4）中间验收工程的照管：</w:t>
      </w:r>
      <w:r>
        <w:rPr>
          <w:rFonts w:hint="eastAsia" w:ascii="仿宋" w:hAnsi="仿宋" w:eastAsia="仿宋" w:cs="仿宋"/>
          <w:sz w:val="24"/>
          <w:szCs w:val="24"/>
          <w:highlight w:val="none"/>
          <w:lang w:eastAsia="zh-CN"/>
        </w:rPr>
        <w:t>实施过程</w:t>
      </w:r>
      <w:r>
        <w:rPr>
          <w:rFonts w:hint="eastAsia" w:ascii="仿宋" w:hAnsi="仿宋" w:eastAsia="仿宋" w:cs="仿宋"/>
          <w:sz w:val="24"/>
          <w:szCs w:val="24"/>
          <w:highlight w:val="none"/>
        </w:rPr>
        <w:t>中，根据工程性质需分阶段施工后进行中间验收的，对每个中间验收工程，监理单位组织采购人、设计单位、总承包单位和中标人进行质量验收评定。中间验收合格后仍由中标人负责照管，中标人应对这些中间验收工程做好保护工作，并承担相关费用。</w:t>
      </w:r>
    </w:p>
    <w:p w14:paraId="47C4B705">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已竣工验收的专业工程的照管：从专业工程竣工验收合格并办理移交中标人手续起，直至整个工程竣工验收合格移交给采购人之日止，中标人应负责照管已按合同完工并移交中标人的专业工程的成品并承担相关费用。</w:t>
      </w:r>
    </w:p>
    <w:p w14:paraId="44FCC93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（6）已完工程成品竣工验收时不应有明显的污染，否则中标人要负责清洁、更换，一切保护、更换和费用均由中标人承担。</w:t>
      </w:r>
    </w:p>
    <w:p w14:paraId="7983FB31">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本项目</w:t>
      </w:r>
      <w:r>
        <w:rPr>
          <w:rFonts w:hint="eastAsia" w:ascii="仿宋" w:hAnsi="仿宋" w:eastAsia="仿宋" w:cs="仿宋"/>
          <w:sz w:val="24"/>
          <w:szCs w:val="24"/>
          <w:highlight w:val="none"/>
        </w:rPr>
        <w:t>的成品保护费、卫生清洁费和检测费等费用已包含在投标总价中，中标人应充分考虑此项费用。</w:t>
      </w:r>
    </w:p>
    <w:p w14:paraId="0B6ADC1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17.5竣工结算：竣工结算申请中标人提供竣工图的约定：（1）施工中没有设计变更，施工后由中标人在采购人提供的施工图纸加盖竣工图章提交采购人；（2）施工中只有零星的少量设计变更，中标人在施工图变更位置注明，并连同经采购人同意的变更签证，于竣工后由中标人加盖竣工图章提交采购人；（3）施工中对原设计变更较多，原施工图难于作为竣工图，应由中标人组织重新绘制竣工图并承担相应费用；该工程相关验收，如消防、人防等综合验收所需图纸需由中标人提供。</w:t>
      </w:r>
    </w:p>
    <w:p w14:paraId="789C24A4">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工程竣工验收合格后28天内，中标人应向采购人提交竣工结算报告及完整的结算资料{含(1)经监理单位审核签字盖章的竣工图；(2)设计单位提出的设计变更；(3)采购人会同设计单位提出的有关工程的修改变更等通知单；(4)由采购人代表、监理单位、设计单位、施工单位共同会审的会审纪要文件；(5)经现场监理、采购人代表共同签字的工程隐蔽签证单；(6)工程结算书；(7)工程量计算书；（8）采购人合理要求的其他资料}，如中标人未在该期限内完整提供上述资料的，经采购人催促后14天内仍未提供的，采购人有权根据其掌握的资料进行审查并作为结算依据，中标人对此没有异议。</w:t>
      </w:r>
    </w:p>
    <w:p w14:paraId="155E9BCF">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标人按约定时间提交完整的结算资料后，监理人、采购人的审核时限：①监理人在28天内完成审核并报送采购人，②采购人在收到监理人经审核的竣工结算资料后28天内完成审核，确定报审数并报送市（区）财政审核部门审核，③市（区）财政审核部门审核数为本项目最终工程结算数。监理人在市（区）财政审核部门审核后7天内向中标人签发经采购人签认的竣工付款证书。</w:t>
      </w:r>
    </w:p>
    <w:p w14:paraId="455AEDA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17.6中标人需要提交的竣工资料套数：中标人应配合总承包单位及采购人根据相关规定整理竣工资料，并向采购人移交 4 套，向城建档案馆移交 1 套，电子版本一套。</w:t>
      </w:r>
    </w:p>
    <w:p w14:paraId="49E5287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17.7合同签订后，中标人应根据现场施工进度按采购人要求将所有设备运送至施工现场；并且经采购人验收合格后方能安装。</w:t>
      </w:r>
    </w:p>
    <w:p w14:paraId="5F86F67E">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17.8中标人将工程实物移交给采购人前10日应提供移交检测清单。中标人未按采购人要求办理移交手续，则应以合同总价的1%作为违约金支付给采购人。</w:t>
      </w:r>
    </w:p>
    <w:p w14:paraId="582C795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17.9本项目纳入主体施工单位的总承包管理，中标人应服从总承包管理单位的协调，包括但不限于总体进度协调、工序协调、各专业施工界面划分与管理、施工质量的检查和验收、施工安全和文明施工的检查落实、内业资料的收集和工程竣工资料的整理汇编与归档（直至整体工程竣工验收合格并通过综合备案）等。</w:t>
      </w:r>
    </w:p>
    <w:p w14:paraId="6B89194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17.10中标人</w:t>
      </w:r>
      <w:r>
        <w:rPr>
          <w:rFonts w:hint="eastAsia" w:ascii="仿宋" w:hAnsi="仿宋" w:eastAsia="仿宋" w:cs="仿宋"/>
          <w:sz w:val="24"/>
          <w:szCs w:val="24"/>
          <w:highlight w:val="none"/>
          <w:lang w:eastAsia="zh-CN"/>
        </w:rPr>
        <w:t>进场前</w:t>
      </w:r>
      <w:r>
        <w:rPr>
          <w:rFonts w:hint="eastAsia" w:ascii="仿宋" w:hAnsi="仿宋" w:eastAsia="仿宋" w:cs="仿宋"/>
          <w:sz w:val="24"/>
          <w:szCs w:val="24"/>
          <w:highlight w:val="none"/>
        </w:rPr>
        <w:t>应充分熟悉设计文件，各专业设计图纸核对一致后方可施工，否则因此造成的返工费用由中标人自行承担。</w:t>
      </w:r>
    </w:p>
    <w:p w14:paraId="70348A15">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17.11中标人应充分考虑本项目在施工电梯拆除后的垂直运输，相关费用包含在投标总价中。</w:t>
      </w:r>
    </w:p>
    <w:p w14:paraId="22AB42A6">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17.12中标人应自行做好设备进场及安装完成后的成品保护工作，相关费用包含在投标总价中。</w:t>
      </w:r>
    </w:p>
    <w:p w14:paraId="4B3F07D0">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17.13中标人应充分考虑设备安装时建筑施工图已确定的预留位置及预埋、预留孔洞位置，确保管道走向合理协调，实际施工中如发生管线冲突或预埋、预留孔洞不足问题，中标人应无条件配合采购人进行设计方案优化及改造实施工作。本项目存在中标人进场时，主体结构已完成验收同时全部砖墙砌体已完成的可能，中标人应充分考虑整个施工期可能发生的金钢取孔费用，孔洞敲打及垃圾外运费用，此项费用包干使用不作调整。</w:t>
      </w:r>
    </w:p>
    <w:p w14:paraId="230C3FB3">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17.14本项目遇管道需穿越特级防火门或剪力墙时，应设置套管，中标人的投标报价应包含相应金刚取孔、防水封堵、套管等的价格，结算时不再增补该项费用。</w:t>
      </w:r>
    </w:p>
    <w:p w14:paraId="099D8039">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17.15本项目孔洞恢复、防水封堵、管道包封等修复效果中标人应配合精装等相关专业做到整体美观。</w:t>
      </w:r>
    </w:p>
    <w:p w14:paraId="2881C627">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17.16中标人自行安装设立施工用水、电表（经监理工程师及采购人检查合格并符合有关规范要求），</w:t>
      </w:r>
      <w:r>
        <w:rPr>
          <w:rFonts w:hint="eastAsia" w:ascii="仿宋" w:hAnsi="仿宋" w:eastAsia="仿宋" w:cs="仿宋"/>
          <w:sz w:val="24"/>
          <w:szCs w:val="24"/>
          <w:highlight w:val="none"/>
          <w:lang w:eastAsia="zh-CN"/>
        </w:rPr>
        <w:t>场地</w:t>
      </w:r>
      <w:r>
        <w:rPr>
          <w:rFonts w:hint="eastAsia" w:ascii="仿宋" w:hAnsi="仿宋" w:eastAsia="仿宋" w:cs="仿宋"/>
          <w:sz w:val="24"/>
          <w:szCs w:val="24"/>
          <w:highlight w:val="none"/>
        </w:rPr>
        <w:t>内水电管线由中标人根据施工需要自行解决。所产生的费用及安装调试期间的水电费由中标人承担，上述费用中标人已在投标总报价中考虑。</w:t>
      </w:r>
    </w:p>
    <w:p w14:paraId="368A372C">
      <w:pPr>
        <w:pStyle w:val="7"/>
        <w:ind w:firstLine="40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17.17中标人安装过程中应做到工完场清（</w:t>
      </w:r>
      <w:r>
        <w:rPr>
          <w:rFonts w:hint="eastAsia" w:ascii="仿宋" w:hAnsi="仿宋" w:eastAsia="仿宋" w:cs="仿宋"/>
          <w:sz w:val="24"/>
          <w:szCs w:val="24"/>
          <w:highlight w:val="none"/>
          <w:lang w:val="en-US" w:eastAsia="zh-CN"/>
        </w:rPr>
        <w:t>采购人</w:t>
      </w:r>
      <w:r>
        <w:rPr>
          <w:rFonts w:hint="eastAsia" w:ascii="仿宋" w:hAnsi="仿宋" w:eastAsia="仿宋" w:cs="仿宋"/>
          <w:sz w:val="24"/>
          <w:szCs w:val="24"/>
          <w:highlight w:val="none"/>
        </w:rPr>
        <w:t>指 定建筑垃圾堆放点），以保证现场干净、整洁、有序。中标人不执行时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采购人可自行安排其他单位</w:t>
      </w:r>
      <w:r>
        <w:rPr>
          <w:rFonts w:hint="eastAsia" w:ascii="仿宋" w:hAnsi="仿宋" w:eastAsia="仿宋" w:cs="仿宋"/>
          <w:sz w:val="24"/>
          <w:szCs w:val="24"/>
          <w:highlight w:val="none"/>
        </w:rPr>
        <w:t>负责清理干净，所发生费用由中标人承担。</w:t>
      </w:r>
    </w:p>
    <w:p w14:paraId="75ECA3B4">
      <w:pPr>
        <w:pStyle w:val="7"/>
        <w:ind w:firstLine="402"/>
        <w:jc w:val="left"/>
        <w:rPr>
          <w:rFonts w:hint="eastAsia" w:ascii="仿宋" w:hAnsi="仿宋" w:eastAsia="仿宋" w:cs="仿宋"/>
          <w:sz w:val="24"/>
          <w:szCs w:val="24"/>
          <w:highlight w:val="none"/>
        </w:rPr>
      </w:pPr>
      <w:r>
        <w:rPr>
          <w:rFonts w:hint="eastAsia" w:ascii="仿宋" w:hAnsi="仿宋" w:eastAsia="仿宋" w:cs="仿宋"/>
          <w:color w:val="auto"/>
          <w:sz w:val="24"/>
          <w:szCs w:val="24"/>
          <w:highlight w:val="none"/>
          <w:lang w:val="en-US" w:eastAsia="zh-CN"/>
        </w:rPr>
        <w:t>17.18</w:t>
      </w:r>
      <w:r>
        <w:rPr>
          <w:rFonts w:hint="eastAsia" w:ascii="仿宋" w:hAnsi="仿宋" w:eastAsia="仿宋" w:cs="仿宋"/>
          <w:color w:val="auto"/>
          <w:sz w:val="24"/>
          <w:szCs w:val="24"/>
          <w:highlight w:val="none"/>
        </w:rPr>
        <w:t>中标人须提供与本项目投标文件所附（除能够在线查询的材料外）证明材料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包括但不限于相关货物资料、检测报告等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的复印件一致的原件供采购人核查，未能提供原件或原件与投标文件所附复印件不一致的，按虚假应标处理，采购人将不予签订合同，取消其中标资格，</w:t>
      </w:r>
      <w:r>
        <w:rPr>
          <w:rFonts w:hint="eastAsia" w:ascii="仿宋" w:hAnsi="仿宋" w:eastAsia="仿宋" w:cs="仿宋"/>
          <w:color w:val="auto"/>
          <w:sz w:val="24"/>
          <w:szCs w:val="24"/>
          <w:highlight w:val="none"/>
          <w:lang w:val="en-US" w:eastAsia="zh-CN"/>
        </w:rPr>
        <w:t>采购人将保留依法追究该投标人法律责任(包括但不限于索赔、列入失信名单等)的权利，并由采购人上报财政部门</w:t>
      </w:r>
      <w:r>
        <w:rPr>
          <w:rFonts w:hint="eastAsia" w:ascii="仿宋" w:hAnsi="仿宋" w:eastAsia="仿宋" w:cs="仿宋"/>
          <w:sz w:val="24"/>
          <w:szCs w:val="24"/>
          <w:highlight w:val="none"/>
        </w:rPr>
        <w:t>列入不良行为记录</w:t>
      </w:r>
      <w:r>
        <w:rPr>
          <w:rFonts w:hint="eastAsia" w:ascii="仿宋" w:hAnsi="仿宋" w:eastAsia="仿宋" w:cs="仿宋"/>
          <w:color w:val="auto"/>
          <w:sz w:val="24"/>
          <w:szCs w:val="24"/>
          <w:highlight w:val="none"/>
          <w:lang w:val="en-US" w:eastAsia="zh-CN"/>
        </w:rPr>
        <w:t>。</w:t>
      </w:r>
    </w:p>
    <w:p w14:paraId="43EDFD97">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补充条款：</w:t>
      </w:r>
    </w:p>
    <w:p w14:paraId="76321E06">
      <w:pPr>
        <w:pStyle w:val="7"/>
        <w:ind w:firstLine="48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说明：本补充条款为招标文件组成部分，补充条款内容与招标文件其他地方内容不一致的，以本补充条款内容为准。请投标人仔细阅读。 </w:t>
      </w:r>
    </w:p>
    <w:p w14:paraId="1F6E6806">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一、对《第二章  投标人须知前附表》的内容补充如下：</w:t>
      </w:r>
    </w:p>
    <w:p w14:paraId="1510539E">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一、投标人须知前附表1</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1248"/>
        <w:gridCol w:w="6273"/>
      </w:tblGrid>
      <w:tr w14:paraId="1DDA0E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78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A3F728A">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项号</w:t>
            </w:r>
          </w:p>
        </w:tc>
        <w:tc>
          <w:tcPr>
            <w:tcW w:w="12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EA81ECD">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招标文件</w:t>
            </w:r>
          </w:p>
          <w:p w14:paraId="1EF26899">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（第三章）</w:t>
            </w:r>
          </w:p>
        </w:tc>
        <w:tc>
          <w:tcPr>
            <w:tcW w:w="627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95A3A6C">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编列内容</w:t>
            </w:r>
          </w:p>
        </w:tc>
      </w:tr>
      <w:tr w14:paraId="0D95BBD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495C8C">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12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7F1E79">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15.1-（2）</w:t>
            </w:r>
          </w:p>
        </w:tc>
        <w:tc>
          <w:tcPr>
            <w:tcW w:w="627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08D65C">
            <w:pPr>
              <w:pStyle w:val="7"/>
              <w:ind w:firstLine="380"/>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质疑函应采用下列方式之一提交：</w:t>
            </w:r>
          </w:p>
          <w:p w14:paraId="69E15872">
            <w:pPr>
              <w:pStyle w:val="7"/>
              <w:ind w:firstLine="3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（1）邮件形式：将质疑函原件扫描发送至邮箱：</w:t>
            </w:r>
            <w:r>
              <w:rPr>
                <w:rFonts w:hint="eastAsia" w:ascii="仿宋" w:hAnsi="仿宋" w:eastAsia="仿宋" w:cs="仿宋"/>
                <w:sz w:val="24"/>
                <w:szCs w:val="24"/>
                <w:highlight w:val="none"/>
                <w:lang w:val="en-US" w:eastAsia="zh-CN"/>
              </w:rPr>
              <w:t>740223471</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qq</w:t>
            </w:r>
            <w:r>
              <w:rPr>
                <w:rFonts w:hint="eastAsia" w:ascii="仿宋" w:hAnsi="仿宋" w:eastAsia="仿宋" w:cs="仿宋"/>
                <w:sz w:val="24"/>
                <w:szCs w:val="24"/>
                <w:highlight w:val="none"/>
              </w:rPr>
              <w:t>.com。收到质疑函的时间以邮箱显示的收到时间为准。质疑答复过程中需要核对原件的，质疑人应提供原件核查，否则相关资料可能不被认可。</w:t>
            </w:r>
          </w:p>
          <w:p w14:paraId="14157B47">
            <w:pPr>
              <w:pStyle w:val="7"/>
              <w:ind w:firstLine="3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快递形式：将质疑函原件快递至代理机构地址：厦门市思明区鹭江道100号财富中心2305单元，收件人：翟先生、黄女士，联系电话：18205937661、15980016919，邮箱：740223471@qq.com。收到质疑函的时间以快递签收时间为准。</w:t>
            </w:r>
          </w:p>
          <w:p w14:paraId="6E998FCB">
            <w:pPr>
              <w:pStyle w:val="7"/>
              <w:ind w:firstLine="3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（3）现场送达：将质疑函原件现场送至</w:t>
            </w:r>
            <w:r>
              <w:rPr>
                <w:rFonts w:hint="eastAsia" w:ascii="仿宋" w:hAnsi="仿宋" w:eastAsia="仿宋" w:cs="仿宋"/>
                <w:sz w:val="24"/>
                <w:szCs w:val="24"/>
                <w:highlight w:val="none"/>
                <w:lang w:eastAsia="zh-CN"/>
              </w:rPr>
              <w:t>厦门市思明区鹭江道100号财富中心2305单元</w:t>
            </w:r>
            <w:r>
              <w:rPr>
                <w:rFonts w:hint="eastAsia" w:ascii="仿宋" w:hAnsi="仿宋" w:eastAsia="仿宋" w:cs="仿宋"/>
                <w:sz w:val="24"/>
                <w:szCs w:val="24"/>
                <w:highlight w:val="none"/>
              </w:rPr>
              <w:t>。收到质疑函的时间以前台签收时间为准。</w:t>
            </w:r>
          </w:p>
          <w:p w14:paraId="1E2ADA97">
            <w:pPr>
              <w:pStyle w:val="7"/>
              <w:ind w:firstLine="3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注：提交质疑函须附上系统报名截图，质疑函须符合第三章第15条质疑的要求。</w:t>
            </w:r>
          </w:p>
        </w:tc>
      </w:tr>
      <w:tr w14:paraId="6CF1ABE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0C6D12">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12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9AAE14C">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19</w:t>
            </w:r>
          </w:p>
        </w:tc>
        <w:tc>
          <w:tcPr>
            <w:tcW w:w="627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7AFB07F">
            <w:pPr>
              <w:pStyle w:val="7"/>
              <w:ind w:firstLine="380"/>
              <w:jc w:val="both"/>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本项目的核心产品为：</w:t>
            </w:r>
          </w:p>
          <w:p w14:paraId="38E3DB64">
            <w:pPr>
              <w:pStyle w:val="7"/>
              <w:ind w:firstLine="380"/>
              <w:jc w:val="both"/>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采购包1：</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lang w:eastAsia="zh-CN"/>
              </w:rPr>
              <w:t>核心产品：Nvme全闪集群服务器配置、混闪集群服务器配置、DMZ集群服务器配置</w:t>
            </w:r>
          </w:p>
          <w:p w14:paraId="0CAD8F4D">
            <w:pPr>
              <w:pStyle w:val="7"/>
              <w:ind w:firstLine="380"/>
              <w:jc w:val="both"/>
              <w:rPr>
                <w:rFonts w:hint="eastAsia" w:ascii="仿宋" w:hAnsi="仿宋" w:eastAsia="仿宋" w:cs="仿宋"/>
                <w:sz w:val="24"/>
                <w:szCs w:val="24"/>
                <w:highlight w:val="none"/>
              </w:rPr>
            </w:pPr>
            <w:r>
              <w:rPr>
                <w:rFonts w:hint="eastAsia" w:ascii="仿宋" w:hAnsi="仿宋" w:eastAsia="仿宋" w:cs="仿宋"/>
                <w:b/>
                <w:bCs/>
                <w:sz w:val="24"/>
                <w:szCs w:val="24"/>
                <w:highlight w:val="none"/>
              </w:rPr>
              <w:t>注：多家投标人提供的核心产品中有任意一个对应产品品牌相同的，按照第四章第6.4条第（2）款第①、②规定处理。</w:t>
            </w:r>
          </w:p>
        </w:tc>
      </w:tr>
    </w:tbl>
    <w:p w14:paraId="6C47D315">
      <w:pPr>
        <w:pStyle w:val="7"/>
        <w:ind w:firstLine="480"/>
        <w:jc w:val="left"/>
        <w:rPr>
          <w:sz w:val="24"/>
          <w:szCs w:val="24"/>
        </w:rPr>
      </w:pPr>
      <w:r>
        <w:rPr>
          <w:rFonts w:ascii="仿宋_GB2312" w:hAnsi="仿宋_GB2312" w:eastAsia="仿宋_GB2312" w:cs="仿宋_GB2312"/>
          <w:b/>
          <w:sz w:val="24"/>
          <w:szCs w:val="24"/>
        </w:rPr>
        <w:t>二、对《第三章  投标人须知》的内容补充如下：</w:t>
      </w:r>
    </w:p>
    <w:p w14:paraId="3CF6DC66">
      <w:pPr>
        <w:pStyle w:val="7"/>
        <w:ind w:firstLine="480"/>
        <w:jc w:val="both"/>
        <w:rPr>
          <w:sz w:val="24"/>
          <w:szCs w:val="24"/>
        </w:rPr>
      </w:pPr>
      <w:r>
        <w:rPr>
          <w:rFonts w:ascii="仿宋_GB2312" w:hAnsi="仿宋_GB2312" w:eastAsia="仿宋_GB2312" w:cs="仿宋_GB2312"/>
          <w:b/>
          <w:sz w:val="24"/>
          <w:szCs w:val="24"/>
        </w:rPr>
        <w:t>（一）《八、政府采购政策》内容补充如下：</w:t>
      </w:r>
    </w:p>
    <w:p w14:paraId="4F16B898">
      <w:pPr>
        <w:pStyle w:val="7"/>
        <w:ind w:firstLine="480"/>
        <w:jc w:val="left"/>
        <w:rPr>
          <w:sz w:val="24"/>
          <w:szCs w:val="24"/>
        </w:rPr>
      </w:pPr>
      <w:r>
        <w:rPr>
          <w:rFonts w:ascii="仿宋_GB2312" w:hAnsi="仿宋_GB2312" w:eastAsia="仿宋_GB2312" w:cs="仿宋_GB2312"/>
          <w:sz w:val="24"/>
          <w:szCs w:val="24"/>
        </w:rPr>
        <w:t>预留份额专门面向中小企业采购要求：</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870"/>
        <w:gridCol w:w="6436"/>
      </w:tblGrid>
      <w:tr w14:paraId="450ADA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87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57BBD0D">
            <w:pPr>
              <w:pStyle w:val="7"/>
              <w:ind w:firstLine="480"/>
              <w:jc w:val="center"/>
              <w:rPr>
                <w:sz w:val="24"/>
                <w:szCs w:val="24"/>
              </w:rPr>
            </w:pPr>
            <w:r>
              <w:rPr>
                <w:rFonts w:ascii="仿宋_GB2312" w:hAnsi="仿宋_GB2312" w:eastAsia="仿宋_GB2312" w:cs="仿宋_GB2312"/>
                <w:sz w:val="24"/>
                <w:szCs w:val="24"/>
              </w:rPr>
              <w:t>中型、小型、微型企业界定</w:t>
            </w:r>
          </w:p>
        </w:tc>
        <w:tc>
          <w:tcPr>
            <w:tcW w:w="643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3040D56">
            <w:pPr>
              <w:pStyle w:val="7"/>
              <w:ind w:firstLine="480"/>
              <w:jc w:val="both"/>
              <w:rPr>
                <w:sz w:val="24"/>
                <w:szCs w:val="24"/>
              </w:rPr>
            </w:pPr>
            <w:r>
              <w:rPr>
                <w:rFonts w:ascii="仿宋_GB2312" w:hAnsi="仿宋_GB2312" w:eastAsia="仿宋_GB2312" w:cs="仿宋_GB2312"/>
                <w:sz w:val="24"/>
                <w:szCs w:val="24"/>
              </w:rPr>
              <w:t>详见第三章第17.3条的相关规定。</w:t>
            </w:r>
          </w:p>
        </w:tc>
      </w:tr>
      <w:tr w14:paraId="4345F7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87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DDD1724">
            <w:pPr>
              <w:pStyle w:val="7"/>
              <w:ind w:firstLine="480"/>
              <w:jc w:val="center"/>
              <w:rPr>
                <w:sz w:val="24"/>
                <w:szCs w:val="24"/>
              </w:rPr>
            </w:pPr>
            <w:r>
              <w:rPr>
                <w:rFonts w:ascii="仿宋_GB2312" w:hAnsi="仿宋_GB2312" w:eastAsia="仿宋_GB2312" w:cs="仿宋_GB2312"/>
                <w:sz w:val="24"/>
                <w:szCs w:val="24"/>
              </w:rPr>
              <w:t>需满足的条件</w:t>
            </w:r>
          </w:p>
        </w:tc>
        <w:tc>
          <w:tcPr>
            <w:tcW w:w="643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13B6F6">
            <w:pPr>
              <w:pStyle w:val="7"/>
              <w:ind w:firstLine="480"/>
              <w:jc w:val="both"/>
              <w:rPr>
                <w:sz w:val="24"/>
                <w:szCs w:val="24"/>
              </w:rPr>
            </w:pPr>
            <w:r>
              <w:rPr>
                <w:rFonts w:ascii="仿宋_GB2312" w:hAnsi="仿宋_GB2312" w:eastAsia="仿宋_GB2312" w:cs="仿宋_GB2312"/>
                <w:sz w:val="24"/>
                <w:szCs w:val="24"/>
              </w:rPr>
              <w:t>由中型、小型、微型企业制造的投标货物需达到特定资格条件要求的比例，否则投标无效。</w:t>
            </w:r>
          </w:p>
        </w:tc>
      </w:tr>
      <w:tr w14:paraId="6ECB7F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87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FB7C5BA">
            <w:pPr>
              <w:pStyle w:val="7"/>
              <w:ind w:firstLine="480"/>
              <w:jc w:val="center"/>
              <w:rPr>
                <w:sz w:val="24"/>
                <w:szCs w:val="24"/>
              </w:rPr>
            </w:pPr>
            <w:r>
              <w:rPr>
                <w:rFonts w:ascii="仿宋_GB2312" w:hAnsi="仿宋_GB2312" w:eastAsia="仿宋_GB2312" w:cs="仿宋_GB2312"/>
                <w:sz w:val="24"/>
                <w:szCs w:val="24"/>
              </w:rPr>
              <w:t>需提供的材料</w:t>
            </w:r>
          </w:p>
        </w:tc>
        <w:tc>
          <w:tcPr>
            <w:tcW w:w="643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2E6F82">
            <w:pPr>
              <w:pStyle w:val="7"/>
              <w:ind w:firstLine="480"/>
              <w:jc w:val="both"/>
              <w:rPr>
                <w:sz w:val="24"/>
                <w:szCs w:val="24"/>
              </w:rPr>
            </w:pPr>
            <w:r>
              <w:rPr>
                <w:rFonts w:ascii="仿宋_GB2312" w:hAnsi="仿宋_GB2312" w:eastAsia="仿宋_GB2312" w:cs="仿宋_GB2312"/>
                <w:sz w:val="24"/>
                <w:szCs w:val="24"/>
              </w:rPr>
              <w:t>投标文件中需提供《中小企业声明函》。若制造企业为监狱企业、残疾人福利性单位的，可不填写《中小企业声明函》，按第三章第17.3条的相关要求提供相应材料即可。</w:t>
            </w:r>
          </w:p>
        </w:tc>
      </w:tr>
      <w:tr w14:paraId="541846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87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DD4227">
            <w:pPr>
              <w:pStyle w:val="7"/>
              <w:ind w:firstLine="480"/>
              <w:jc w:val="center"/>
              <w:rPr>
                <w:sz w:val="24"/>
                <w:szCs w:val="24"/>
              </w:rPr>
            </w:pPr>
            <w:r>
              <w:rPr>
                <w:rFonts w:ascii="仿宋_GB2312" w:hAnsi="仿宋_GB2312" w:eastAsia="仿宋_GB2312" w:cs="仿宋_GB2312"/>
                <w:sz w:val="24"/>
                <w:szCs w:val="24"/>
              </w:rPr>
              <w:t>注意事项</w:t>
            </w:r>
          </w:p>
        </w:tc>
        <w:tc>
          <w:tcPr>
            <w:tcW w:w="643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550021">
            <w:pPr>
              <w:pStyle w:val="7"/>
              <w:ind w:firstLine="480"/>
              <w:jc w:val="both"/>
              <w:rPr>
                <w:sz w:val="24"/>
                <w:szCs w:val="24"/>
              </w:rPr>
            </w:pPr>
            <w:r>
              <w:rPr>
                <w:rFonts w:ascii="仿宋_GB2312" w:hAnsi="仿宋_GB2312" w:eastAsia="仿宋_GB2312" w:cs="仿宋_GB2312"/>
                <w:sz w:val="24"/>
                <w:szCs w:val="24"/>
              </w:rPr>
              <w:t>1、请投标人根据《关于印发中小企业划型标准规定的通知》（工信部联企业〔2011〕300号）规定的标准对企业规模进行认定。</w:t>
            </w:r>
          </w:p>
          <w:p w14:paraId="769AD96F">
            <w:pPr>
              <w:pStyle w:val="7"/>
              <w:ind w:firstLine="480"/>
              <w:jc w:val="both"/>
              <w:rPr>
                <w:sz w:val="24"/>
                <w:szCs w:val="24"/>
              </w:rPr>
            </w:pPr>
            <w:r>
              <w:rPr>
                <w:rFonts w:ascii="仿宋_GB2312" w:hAnsi="仿宋_GB2312" w:eastAsia="仿宋_GB2312" w:cs="仿宋_GB2312"/>
                <w:sz w:val="24"/>
                <w:szCs w:val="24"/>
              </w:rPr>
              <w:t>2、投标人应当对其出具的《中小企业声明函》真实性负责，投标人出具的《中小企业声明函》内容不实的，属于提供虚假材料谋取中标。在实际操作中，投标人希望获得政策支持的，应从制造商处获得充分、准确的信息。对相关制造商信息了解不充分，或者不能确定相关信息真实、准确的，不建议出具《中小企业声明函》。</w:t>
            </w:r>
          </w:p>
          <w:p w14:paraId="233B54E0">
            <w:pPr>
              <w:pStyle w:val="7"/>
              <w:ind w:firstLine="480"/>
              <w:jc w:val="both"/>
              <w:rPr>
                <w:sz w:val="24"/>
                <w:szCs w:val="24"/>
              </w:rPr>
            </w:pPr>
            <w:r>
              <w:rPr>
                <w:rFonts w:ascii="仿宋_GB2312" w:hAnsi="仿宋_GB2312" w:eastAsia="仿宋_GB2312" w:cs="仿宋_GB2312"/>
                <w:sz w:val="24"/>
                <w:szCs w:val="24"/>
              </w:rPr>
              <w:t>3、投标人需对声明的真实性负责，中标结果将同时公告中标</w:t>
            </w:r>
            <w:r>
              <w:rPr>
                <w:rFonts w:hint="eastAsia" w:ascii="仿宋_GB2312" w:hAnsi="仿宋_GB2312" w:eastAsia="仿宋_GB2312" w:cs="仿宋_GB2312"/>
                <w:sz w:val="24"/>
                <w:szCs w:val="24"/>
                <w:lang w:eastAsia="zh-CN"/>
              </w:rPr>
              <w:t>投标人</w:t>
            </w:r>
            <w:r>
              <w:rPr>
                <w:rFonts w:ascii="仿宋_GB2312" w:hAnsi="仿宋_GB2312" w:eastAsia="仿宋_GB2312" w:cs="仿宋_GB2312"/>
                <w:sz w:val="24"/>
                <w:szCs w:val="24"/>
              </w:rPr>
              <w:t>的《中小企业声明函》，投标人提供的声明函内容不实的，则属于提供虚假材料谋取中标情形，依照《政府采购法》等国家有关规定追究相应责任。</w:t>
            </w:r>
          </w:p>
        </w:tc>
      </w:tr>
      <w:tr w14:paraId="4BD1715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6"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65D75D">
            <w:pPr>
              <w:pStyle w:val="7"/>
              <w:ind w:firstLine="480"/>
              <w:jc w:val="both"/>
              <w:rPr>
                <w:sz w:val="24"/>
                <w:szCs w:val="24"/>
              </w:rPr>
            </w:pPr>
            <w:r>
              <w:rPr>
                <w:rFonts w:ascii="仿宋_GB2312" w:hAnsi="仿宋_GB2312" w:eastAsia="仿宋_GB2312" w:cs="仿宋_GB2312"/>
                <w:sz w:val="24"/>
                <w:szCs w:val="24"/>
              </w:rPr>
              <w:t>注：1、中小企业包括中型企业、小型企业、微型企业。</w:t>
            </w:r>
          </w:p>
          <w:p w14:paraId="3E7BCCC0">
            <w:pPr>
              <w:pStyle w:val="7"/>
              <w:ind w:firstLine="480"/>
              <w:jc w:val="both"/>
              <w:rPr>
                <w:sz w:val="24"/>
                <w:szCs w:val="24"/>
              </w:rPr>
            </w:pPr>
            <w:r>
              <w:rPr>
                <w:rFonts w:ascii="仿宋_GB2312" w:hAnsi="仿宋_GB2312" w:eastAsia="仿宋_GB2312" w:cs="仿宋_GB2312"/>
                <w:sz w:val="24"/>
                <w:szCs w:val="24"/>
              </w:rPr>
              <w:t>2、根据财政部、工信部《政府采购促进中小企业发展管理办法》、《福建省财政厅关于促进中小企业政府采购合同融资健康开展的通知》等政策，投标人中标后如需融资，可通过“福建省政府采购金融服务网”（网址：https：//zfcg.czt.fujian.gov.cn/zcdservice/zcd/home/index）办理合同融资。</w:t>
            </w:r>
          </w:p>
        </w:tc>
      </w:tr>
    </w:tbl>
    <w:p w14:paraId="20E68B60">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、对《第七章  电子投标文件格式》的内容补充如下：</w:t>
      </w:r>
    </w:p>
    <w:p w14:paraId="7CC6DBC0">
      <w:pPr>
        <w:pStyle w:val="7"/>
        <w:ind w:firstLine="480"/>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（一）《资格及资信证明部分》的格式补充如下：</w:t>
      </w:r>
    </w:p>
    <w:p w14:paraId="6F3A0E16">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二-9中小企业声明函</w:t>
      </w:r>
    </w:p>
    <w:p w14:paraId="50CB3D05">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（预留份额专门面向中小企业采购项目适用）</w:t>
      </w:r>
    </w:p>
    <w:p w14:paraId="7A7C8846">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中小企业声明函（货物）</w:t>
      </w:r>
    </w:p>
    <w:p w14:paraId="2E99BDD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本公司（联合体）郑重声明，根据《政府采购促进中小企业发展管理办法》（财库〔2020〕46号）的规定，本公司（联合体）参加【</w:t>
      </w:r>
      <w:r>
        <w:rPr>
          <w:rFonts w:hint="eastAsia" w:ascii="仿宋" w:hAnsi="仿宋" w:eastAsia="仿宋" w:cs="仿宋"/>
          <w:sz w:val="24"/>
          <w:szCs w:val="24"/>
          <w:highlight w:val="none"/>
          <w:lang w:eastAsia="zh-CN"/>
        </w:rPr>
        <w:t>厦门大学附属心血管病医院</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国家心血管医学研究分中心医疗信息化智能化设备采购项目</w:t>
      </w:r>
      <w:r>
        <w:rPr>
          <w:rFonts w:hint="eastAsia" w:ascii="仿宋" w:hAnsi="仿宋" w:eastAsia="仿宋" w:cs="仿宋"/>
          <w:sz w:val="24"/>
          <w:szCs w:val="24"/>
          <w:highlight w:val="none"/>
        </w:rPr>
        <w:t>】采购活动，属于【工业】行业，提供的货物由符合政策要求的中小企业制造。相关企业（含联合体中的中小企业、签订分包意向协议的中小企业）的具体情况如下：</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1003"/>
        <w:gridCol w:w="856"/>
        <w:gridCol w:w="878"/>
        <w:gridCol w:w="1310"/>
        <w:gridCol w:w="1103"/>
        <w:gridCol w:w="1116"/>
        <w:gridCol w:w="1420"/>
      </w:tblGrid>
      <w:tr w14:paraId="573BD24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D7CFA09">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55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18BB2FA">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标的名称</w:t>
            </w:r>
          </w:p>
        </w:tc>
        <w:tc>
          <w:tcPr>
            <w:tcW w:w="9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0B179B14">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行业</w:t>
            </w:r>
          </w:p>
        </w:tc>
        <w:tc>
          <w:tcPr>
            <w:tcW w:w="10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6FBDFD8">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制造商全称</w:t>
            </w:r>
          </w:p>
        </w:tc>
        <w:tc>
          <w:tcPr>
            <w:tcW w:w="10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FA5A302">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从业</w:t>
            </w:r>
          </w:p>
          <w:p w14:paraId="5CECAD1A">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人员</w:t>
            </w:r>
          </w:p>
          <w:p w14:paraId="0E91589E">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（人）</w:t>
            </w:r>
          </w:p>
        </w:tc>
        <w:tc>
          <w:tcPr>
            <w:tcW w:w="120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22263E90">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w:t>
            </w:r>
          </w:p>
          <w:p w14:paraId="7487A2C1">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收入</w:t>
            </w:r>
          </w:p>
          <w:p w14:paraId="1D74E143">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（万元）</w:t>
            </w:r>
          </w:p>
        </w:tc>
        <w:tc>
          <w:tcPr>
            <w:tcW w:w="126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85CD941">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w:t>
            </w:r>
          </w:p>
          <w:p w14:paraId="770CDDF3">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总额</w:t>
            </w:r>
          </w:p>
          <w:p w14:paraId="71390DC6">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（万元）</w:t>
            </w:r>
          </w:p>
        </w:tc>
        <w:tc>
          <w:tcPr>
            <w:tcW w:w="254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96F7293">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企业类型</w:t>
            </w:r>
          </w:p>
          <w:p w14:paraId="3F0F0F60">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（根据划型标准填写中型企业或小型企业或微型企业）</w:t>
            </w:r>
          </w:p>
        </w:tc>
      </w:tr>
      <w:tr w14:paraId="77EECB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A5C7CA">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55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9672AE">
            <w:pPr>
              <w:pStyle w:val="7"/>
              <w:ind w:firstLine="380"/>
              <w:jc w:val="center"/>
              <w:rPr>
                <w:rFonts w:hint="eastAsia" w:ascii="仿宋" w:hAnsi="仿宋" w:eastAsia="仿宋" w:cs="仿宋"/>
                <w:sz w:val="24"/>
                <w:szCs w:val="24"/>
                <w:highlight w:val="none"/>
              </w:rP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C9220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工业</w:t>
            </w: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953FA74">
            <w:pPr>
              <w:pStyle w:val="7"/>
              <w:ind w:firstLine="380"/>
              <w:jc w:val="center"/>
              <w:rPr>
                <w:rFonts w:hint="eastAsia" w:ascii="仿宋" w:hAnsi="仿宋" w:eastAsia="仿宋" w:cs="仿宋"/>
                <w:sz w:val="24"/>
                <w:szCs w:val="24"/>
                <w:highlight w:val="none"/>
              </w:rPr>
            </w:pPr>
          </w:p>
        </w:tc>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2D073F">
            <w:pPr>
              <w:rPr>
                <w:rFonts w:hint="eastAsia" w:ascii="仿宋" w:hAnsi="仿宋" w:eastAsia="仿宋" w:cs="仿宋"/>
                <w:sz w:val="24"/>
                <w:szCs w:val="24"/>
                <w:highlight w:val="none"/>
              </w:rPr>
            </w:pPr>
          </w:p>
        </w:tc>
        <w:tc>
          <w:tcPr>
            <w:tcW w:w="120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468C306">
            <w:pPr>
              <w:rPr>
                <w:rFonts w:hint="eastAsia" w:ascii="仿宋" w:hAnsi="仿宋" w:eastAsia="仿宋" w:cs="仿宋"/>
                <w:sz w:val="24"/>
                <w:szCs w:val="24"/>
                <w:highlight w:val="none"/>
              </w:rPr>
            </w:pPr>
          </w:p>
        </w:tc>
        <w:tc>
          <w:tcPr>
            <w:tcW w:w="126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AD7471">
            <w:pPr>
              <w:rPr>
                <w:rFonts w:hint="eastAsia" w:ascii="仿宋" w:hAnsi="仿宋" w:eastAsia="仿宋" w:cs="仿宋"/>
                <w:sz w:val="24"/>
                <w:szCs w:val="24"/>
                <w:highlight w:val="none"/>
              </w:rPr>
            </w:pPr>
          </w:p>
        </w:tc>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42746C">
            <w:pPr>
              <w:rPr>
                <w:rFonts w:hint="eastAsia" w:ascii="仿宋" w:hAnsi="仿宋" w:eastAsia="仿宋" w:cs="仿宋"/>
                <w:sz w:val="24"/>
                <w:szCs w:val="24"/>
                <w:highlight w:val="none"/>
              </w:rPr>
            </w:pPr>
          </w:p>
        </w:tc>
      </w:tr>
      <w:tr w14:paraId="1B0B6B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B8A92B">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55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1FCBCE8">
            <w:pPr>
              <w:pStyle w:val="7"/>
              <w:ind w:firstLine="380"/>
              <w:jc w:val="center"/>
              <w:rPr>
                <w:rFonts w:hint="eastAsia" w:ascii="仿宋" w:hAnsi="仿宋" w:eastAsia="仿宋" w:cs="仿宋"/>
                <w:sz w:val="24"/>
                <w:szCs w:val="24"/>
                <w:highlight w:val="none"/>
              </w:rPr>
            </w:pP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37B7B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工业</w:t>
            </w: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DFC114">
            <w:pPr>
              <w:pStyle w:val="7"/>
              <w:ind w:firstLine="380"/>
              <w:jc w:val="center"/>
              <w:rPr>
                <w:rFonts w:hint="eastAsia" w:ascii="仿宋" w:hAnsi="仿宋" w:eastAsia="仿宋" w:cs="仿宋"/>
                <w:sz w:val="24"/>
                <w:szCs w:val="24"/>
                <w:highlight w:val="none"/>
              </w:rPr>
            </w:pPr>
          </w:p>
        </w:tc>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4B5E109">
            <w:pPr>
              <w:rPr>
                <w:rFonts w:hint="eastAsia" w:ascii="仿宋" w:hAnsi="仿宋" w:eastAsia="仿宋" w:cs="仿宋"/>
                <w:sz w:val="24"/>
                <w:szCs w:val="24"/>
                <w:highlight w:val="none"/>
              </w:rPr>
            </w:pPr>
          </w:p>
        </w:tc>
        <w:tc>
          <w:tcPr>
            <w:tcW w:w="120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0B3BD7B">
            <w:pPr>
              <w:rPr>
                <w:rFonts w:hint="eastAsia" w:ascii="仿宋" w:hAnsi="仿宋" w:eastAsia="仿宋" w:cs="仿宋"/>
                <w:sz w:val="24"/>
                <w:szCs w:val="24"/>
                <w:highlight w:val="none"/>
              </w:rPr>
            </w:pPr>
          </w:p>
        </w:tc>
        <w:tc>
          <w:tcPr>
            <w:tcW w:w="126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0FD4540">
            <w:pPr>
              <w:rPr>
                <w:rFonts w:hint="eastAsia" w:ascii="仿宋" w:hAnsi="仿宋" w:eastAsia="仿宋" w:cs="仿宋"/>
                <w:sz w:val="24"/>
                <w:szCs w:val="24"/>
                <w:highlight w:val="none"/>
              </w:rPr>
            </w:pPr>
          </w:p>
        </w:tc>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ED7B2FF">
            <w:pPr>
              <w:rPr>
                <w:rFonts w:hint="eastAsia" w:ascii="仿宋" w:hAnsi="仿宋" w:eastAsia="仿宋" w:cs="仿宋"/>
                <w:sz w:val="24"/>
                <w:szCs w:val="24"/>
                <w:highlight w:val="none"/>
              </w:rPr>
            </w:pPr>
          </w:p>
        </w:tc>
      </w:tr>
      <w:tr w14:paraId="5EB202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800A20">
            <w:pPr>
              <w:rPr>
                <w:rFonts w:hint="eastAsia" w:ascii="仿宋" w:hAnsi="仿宋" w:eastAsia="仿宋" w:cs="仿宋"/>
                <w:sz w:val="24"/>
                <w:szCs w:val="24"/>
                <w:highlight w:val="none"/>
              </w:rPr>
            </w:pPr>
          </w:p>
        </w:tc>
        <w:tc>
          <w:tcPr>
            <w:tcW w:w="155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C8C8FA">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9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50CED8">
            <w:pPr>
              <w:pStyle w:val="7"/>
              <w:ind w:firstLine="380"/>
              <w:jc w:val="center"/>
              <w:rPr>
                <w:rFonts w:hint="eastAsia" w:ascii="仿宋" w:hAnsi="仿宋" w:eastAsia="仿宋" w:cs="仿宋"/>
                <w:sz w:val="24"/>
                <w:szCs w:val="24"/>
                <w:highlight w:val="none"/>
              </w:rPr>
            </w:pPr>
          </w:p>
        </w:tc>
        <w:tc>
          <w:tcPr>
            <w:tcW w:w="103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843E8E2">
            <w:pPr>
              <w:rPr>
                <w:rFonts w:hint="eastAsia" w:ascii="仿宋" w:hAnsi="仿宋" w:eastAsia="仿宋" w:cs="仿宋"/>
                <w:sz w:val="24"/>
                <w:szCs w:val="24"/>
                <w:highlight w:val="none"/>
              </w:rPr>
            </w:pPr>
          </w:p>
        </w:tc>
        <w:tc>
          <w:tcPr>
            <w:tcW w:w="104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8687F3">
            <w:pPr>
              <w:rPr>
                <w:rFonts w:hint="eastAsia" w:ascii="仿宋" w:hAnsi="仿宋" w:eastAsia="仿宋" w:cs="仿宋"/>
                <w:sz w:val="24"/>
                <w:szCs w:val="24"/>
                <w:highlight w:val="none"/>
              </w:rPr>
            </w:pPr>
          </w:p>
        </w:tc>
        <w:tc>
          <w:tcPr>
            <w:tcW w:w="120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8E980FF">
            <w:pPr>
              <w:rPr>
                <w:rFonts w:hint="eastAsia" w:ascii="仿宋" w:hAnsi="仿宋" w:eastAsia="仿宋" w:cs="仿宋"/>
                <w:sz w:val="24"/>
                <w:szCs w:val="24"/>
                <w:highlight w:val="none"/>
              </w:rPr>
            </w:pPr>
          </w:p>
        </w:tc>
        <w:tc>
          <w:tcPr>
            <w:tcW w:w="126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D2B18D">
            <w:pPr>
              <w:rPr>
                <w:rFonts w:hint="eastAsia" w:ascii="仿宋" w:hAnsi="仿宋" w:eastAsia="仿宋" w:cs="仿宋"/>
                <w:sz w:val="24"/>
                <w:szCs w:val="24"/>
                <w:highlight w:val="none"/>
              </w:rPr>
            </w:pPr>
          </w:p>
        </w:tc>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E0FE7BB">
            <w:pPr>
              <w:rPr>
                <w:rFonts w:hint="eastAsia" w:ascii="仿宋" w:hAnsi="仿宋" w:eastAsia="仿宋" w:cs="仿宋"/>
                <w:sz w:val="24"/>
                <w:szCs w:val="24"/>
                <w:highlight w:val="none"/>
              </w:rPr>
            </w:pPr>
          </w:p>
        </w:tc>
      </w:tr>
    </w:tbl>
    <w:p w14:paraId="0395CB4B">
      <w:pPr>
        <w:pStyle w:val="7"/>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以上企业，不属于大企业的分支机构，不存在控股股东为大企业的情形，也不存在与大企业的负责人为同一人的情形。</w:t>
      </w:r>
    </w:p>
    <w:p w14:paraId="1595BAB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本企业对上述声明内容的真实性负责。如有虚假，将依法承担相应责任。</w:t>
      </w:r>
    </w:p>
    <w:p w14:paraId="0E4BFF7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上表中由中型企业制造的货物的报价金额占投标总价的：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，由小型、微型企业制造的货物的报价金额占投标总价的：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1E9599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企业名称（盖章）：</w:t>
      </w:r>
      <w:r>
        <w:rPr>
          <w:rFonts w:hint="eastAsia" w:ascii="仿宋" w:hAnsi="仿宋" w:eastAsia="仿宋" w:cs="仿宋"/>
          <w:sz w:val="24"/>
          <w:szCs w:val="24"/>
          <w:highlight w:val="none"/>
          <w:u w:val="single"/>
        </w:rPr>
        <w:t xml:space="preserve">                    </w:t>
      </w:r>
    </w:p>
    <w:p w14:paraId="73BEC493">
      <w:pPr>
        <w:pStyle w:val="7"/>
        <w:ind w:firstLine="40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p>
    <w:p w14:paraId="02071B7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填写说明：</w:t>
      </w:r>
    </w:p>
    <w:p w14:paraId="4FCFA323">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1、本声明函放在投标文件的《资格及资信证明部分》，只需写明占比比例即可。</w:t>
      </w:r>
    </w:p>
    <w:p w14:paraId="22439F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比例计算公式：该部分货物报价金额÷投标总价*100%。</w:t>
      </w:r>
    </w:p>
    <w:p w14:paraId="7613B30E">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2、表格中的“标的名称”应与采购的货物名称相对应。</w:t>
      </w:r>
    </w:p>
    <w:p w14:paraId="17DF36A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3、填报的企业类型与划型标准不对应的，将可能导致投标无效。</w:t>
      </w:r>
    </w:p>
    <w:p w14:paraId="28FB147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4、从业人员、营业收入、资产总额填报上一年度数据，无上一年度数据的新成立企业可不填报，在空格内填“\”即可。</w:t>
      </w:r>
    </w:p>
    <w:p w14:paraId="032494F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5、营业收入、资产总额应按财务审计报告上的数据填写，可填写完整数值，也可填写取整至万元的数值，如1234.56789万元可填写为1234万元。若填报的数据与投标人自己提供的上一年度财务审计报告数据有出入的，将可能导致投标无效。</w:t>
      </w:r>
    </w:p>
    <w:p w14:paraId="5F041AE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6、从业人员数量建议按企业在国家企业信用信息公示系统中填报的上一年度年报数据填写。</w:t>
      </w:r>
    </w:p>
    <w:p w14:paraId="784AF5D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7、若对填写本声明函有疑问的，请及时联系代理机构咨询，否则由此导致的不利后果由投标人自行承担。</w:t>
      </w:r>
    </w:p>
    <w:p w14:paraId="3BCD043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8、各行业划型标准为：</w:t>
      </w:r>
    </w:p>
    <w:p w14:paraId="7BA50F8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（一）农、林、牧、渔业。营业收入20000万元以下的为中小微型企业。其中，营业收入500万元及以上的为中型企业，营业收入50万元及以上的为小型企业，营业收入50万元以下的为微型企业。</w:t>
      </w:r>
    </w:p>
    <w:p w14:paraId="001444C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40A9BEA9">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DCC98B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F0CCC3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552E6B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DEDA79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295DD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4BCDD3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8C774A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2818F7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31D7D1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594F39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ED32A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569D5C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29E9DF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（十六）其他未列明行业。从业人员300人以下的为中小微型企业。其中，从业人员100人及以上的为中型企业；从业人员10人及以上的为小型企业；从业人员10人以下的为微型企业。</w:t>
      </w:r>
    </w:p>
    <w:p w14:paraId="7D599B7A">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（二）《技术商务部分》的格式补充如下：</w:t>
      </w:r>
    </w:p>
    <w:p w14:paraId="4BF06D1B">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四、投标人提交的其他资料</w:t>
      </w:r>
    </w:p>
    <w:p w14:paraId="1AEFF610">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（一）带“★”号条款逐条响应情况表</w:t>
      </w:r>
    </w:p>
    <w:p w14:paraId="78A9213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招标编号：</w:t>
      </w:r>
      <w:r>
        <w:rPr>
          <w:rFonts w:hint="eastAsia" w:ascii="仿宋" w:hAnsi="仿宋" w:eastAsia="仿宋" w:cs="仿宋"/>
          <w:sz w:val="24"/>
          <w:szCs w:val="24"/>
          <w:highlight w:val="none"/>
          <w:u w:val="single"/>
        </w:rPr>
        <w:t xml:space="preserve">            </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930"/>
        <w:gridCol w:w="3160"/>
        <w:gridCol w:w="1746"/>
        <w:gridCol w:w="2487"/>
      </w:tblGrid>
      <w:tr w14:paraId="21D75F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C43CE4C">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条款号</w:t>
            </w:r>
          </w:p>
        </w:tc>
        <w:tc>
          <w:tcPr>
            <w:tcW w:w="316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3E4EFF9D">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招标文件中带“★”号的条款</w:t>
            </w:r>
          </w:p>
        </w:tc>
        <w:tc>
          <w:tcPr>
            <w:tcW w:w="174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7BDF0D3A">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投标响应内容</w:t>
            </w:r>
          </w:p>
        </w:tc>
        <w:tc>
          <w:tcPr>
            <w:tcW w:w="24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19B87A40">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对应投标文件页码</w:t>
            </w:r>
          </w:p>
        </w:tc>
      </w:tr>
      <w:tr w14:paraId="0827CED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649AF6F">
            <w:pPr>
              <w:pStyle w:val="7"/>
              <w:ind w:firstLine="480"/>
              <w:jc w:val="center"/>
              <w:rPr>
                <w:rFonts w:hint="eastAsia" w:ascii="仿宋" w:hAnsi="仿宋" w:eastAsia="仿宋" w:cs="仿宋"/>
                <w:sz w:val="24"/>
                <w:szCs w:val="24"/>
                <w:highlight w:val="none"/>
              </w:rPr>
            </w:pPr>
          </w:p>
        </w:tc>
        <w:tc>
          <w:tcPr>
            <w:tcW w:w="31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E04467">
            <w:pPr>
              <w:rPr>
                <w:rFonts w:hint="eastAsia" w:ascii="仿宋" w:hAnsi="仿宋" w:eastAsia="仿宋" w:cs="仿宋"/>
                <w:sz w:val="24"/>
                <w:szCs w:val="24"/>
                <w:highlight w:val="none"/>
              </w:rPr>
            </w:pPr>
          </w:p>
        </w:tc>
        <w:tc>
          <w:tcPr>
            <w:tcW w:w="174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3D25B82">
            <w:pPr>
              <w:rPr>
                <w:rFonts w:hint="eastAsia" w:ascii="仿宋" w:hAnsi="仿宋" w:eastAsia="仿宋" w:cs="仿宋"/>
                <w:sz w:val="24"/>
                <w:szCs w:val="24"/>
                <w:highlight w:val="none"/>
              </w:rPr>
            </w:pPr>
          </w:p>
        </w:tc>
        <w:tc>
          <w:tcPr>
            <w:tcW w:w="248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3D895CA">
            <w:pPr>
              <w:rPr>
                <w:rFonts w:hint="eastAsia" w:ascii="仿宋" w:hAnsi="仿宋" w:eastAsia="仿宋" w:cs="仿宋"/>
                <w:sz w:val="24"/>
                <w:szCs w:val="24"/>
                <w:highlight w:val="none"/>
              </w:rPr>
            </w:pPr>
          </w:p>
        </w:tc>
      </w:tr>
      <w:tr w14:paraId="38C607F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E747F75">
            <w:pPr>
              <w:rPr>
                <w:rFonts w:hint="eastAsia" w:ascii="仿宋" w:hAnsi="仿宋" w:eastAsia="仿宋" w:cs="仿宋"/>
                <w:sz w:val="24"/>
                <w:szCs w:val="24"/>
                <w:highlight w:val="none"/>
              </w:rPr>
            </w:pPr>
          </w:p>
        </w:tc>
        <w:tc>
          <w:tcPr>
            <w:tcW w:w="31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41BD58">
            <w:pPr>
              <w:rPr>
                <w:rFonts w:hint="eastAsia" w:ascii="仿宋" w:hAnsi="仿宋" w:eastAsia="仿宋" w:cs="仿宋"/>
                <w:sz w:val="24"/>
                <w:szCs w:val="24"/>
                <w:highlight w:val="none"/>
              </w:rPr>
            </w:pPr>
          </w:p>
        </w:tc>
        <w:tc>
          <w:tcPr>
            <w:tcW w:w="174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C2E56D">
            <w:pPr>
              <w:rPr>
                <w:rFonts w:hint="eastAsia" w:ascii="仿宋" w:hAnsi="仿宋" w:eastAsia="仿宋" w:cs="仿宋"/>
                <w:sz w:val="24"/>
                <w:szCs w:val="24"/>
                <w:highlight w:val="none"/>
              </w:rPr>
            </w:pPr>
          </w:p>
        </w:tc>
        <w:tc>
          <w:tcPr>
            <w:tcW w:w="248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A7E30B">
            <w:pPr>
              <w:rPr>
                <w:rFonts w:hint="eastAsia" w:ascii="仿宋" w:hAnsi="仿宋" w:eastAsia="仿宋" w:cs="仿宋"/>
                <w:sz w:val="24"/>
                <w:szCs w:val="24"/>
                <w:highlight w:val="none"/>
              </w:rPr>
            </w:pPr>
          </w:p>
        </w:tc>
      </w:tr>
      <w:tr w14:paraId="069213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2D610D8">
            <w:pPr>
              <w:rPr>
                <w:rFonts w:hint="eastAsia" w:ascii="仿宋" w:hAnsi="仿宋" w:eastAsia="仿宋" w:cs="仿宋"/>
                <w:sz w:val="24"/>
                <w:szCs w:val="24"/>
                <w:highlight w:val="none"/>
              </w:rPr>
            </w:pPr>
          </w:p>
        </w:tc>
        <w:tc>
          <w:tcPr>
            <w:tcW w:w="31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DE2C5D">
            <w:pPr>
              <w:rPr>
                <w:rFonts w:hint="eastAsia" w:ascii="仿宋" w:hAnsi="仿宋" w:eastAsia="仿宋" w:cs="仿宋"/>
                <w:sz w:val="24"/>
                <w:szCs w:val="24"/>
                <w:highlight w:val="none"/>
              </w:rPr>
            </w:pPr>
          </w:p>
        </w:tc>
        <w:tc>
          <w:tcPr>
            <w:tcW w:w="174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1FFCF8">
            <w:pPr>
              <w:rPr>
                <w:rFonts w:hint="eastAsia" w:ascii="仿宋" w:hAnsi="仿宋" w:eastAsia="仿宋" w:cs="仿宋"/>
                <w:sz w:val="24"/>
                <w:szCs w:val="24"/>
                <w:highlight w:val="none"/>
              </w:rPr>
            </w:pPr>
          </w:p>
        </w:tc>
        <w:tc>
          <w:tcPr>
            <w:tcW w:w="248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9DE1CF">
            <w:pPr>
              <w:rPr>
                <w:rFonts w:hint="eastAsia" w:ascii="仿宋" w:hAnsi="仿宋" w:eastAsia="仿宋" w:cs="仿宋"/>
                <w:sz w:val="24"/>
                <w:szCs w:val="24"/>
                <w:highlight w:val="none"/>
              </w:rPr>
            </w:pPr>
          </w:p>
        </w:tc>
      </w:tr>
      <w:tr w14:paraId="3320F5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231AE69">
            <w:pPr>
              <w:rPr>
                <w:rFonts w:hint="eastAsia" w:ascii="仿宋" w:hAnsi="仿宋" w:eastAsia="仿宋" w:cs="仿宋"/>
                <w:sz w:val="24"/>
                <w:szCs w:val="24"/>
                <w:highlight w:val="none"/>
              </w:rPr>
            </w:pPr>
          </w:p>
        </w:tc>
        <w:tc>
          <w:tcPr>
            <w:tcW w:w="31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DA8512">
            <w:pPr>
              <w:rPr>
                <w:rFonts w:hint="eastAsia" w:ascii="仿宋" w:hAnsi="仿宋" w:eastAsia="仿宋" w:cs="仿宋"/>
                <w:sz w:val="24"/>
                <w:szCs w:val="24"/>
                <w:highlight w:val="none"/>
              </w:rPr>
            </w:pPr>
          </w:p>
        </w:tc>
        <w:tc>
          <w:tcPr>
            <w:tcW w:w="174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5F71C18">
            <w:pPr>
              <w:rPr>
                <w:rFonts w:hint="eastAsia" w:ascii="仿宋" w:hAnsi="仿宋" w:eastAsia="仿宋" w:cs="仿宋"/>
                <w:sz w:val="24"/>
                <w:szCs w:val="24"/>
                <w:highlight w:val="none"/>
              </w:rPr>
            </w:pPr>
          </w:p>
        </w:tc>
        <w:tc>
          <w:tcPr>
            <w:tcW w:w="248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45216F">
            <w:pPr>
              <w:rPr>
                <w:rFonts w:hint="eastAsia" w:ascii="仿宋" w:hAnsi="仿宋" w:eastAsia="仿宋" w:cs="仿宋"/>
                <w:sz w:val="24"/>
                <w:szCs w:val="24"/>
                <w:highlight w:val="none"/>
              </w:rPr>
            </w:pPr>
          </w:p>
        </w:tc>
      </w:tr>
      <w:tr w14:paraId="016D5C7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913"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FDF7B2">
            <w:pPr>
              <w:rPr>
                <w:rFonts w:hint="eastAsia" w:ascii="仿宋" w:hAnsi="仿宋" w:eastAsia="仿宋" w:cs="仿宋"/>
                <w:sz w:val="24"/>
                <w:szCs w:val="24"/>
                <w:highlight w:val="none"/>
              </w:rPr>
            </w:pPr>
          </w:p>
        </w:tc>
        <w:tc>
          <w:tcPr>
            <w:tcW w:w="316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027164">
            <w:pPr>
              <w:rPr>
                <w:rFonts w:hint="eastAsia" w:ascii="仿宋" w:hAnsi="仿宋" w:eastAsia="仿宋" w:cs="仿宋"/>
                <w:sz w:val="24"/>
                <w:szCs w:val="24"/>
                <w:highlight w:val="none"/>
              </w:rPr>
            </w:pPr>
          </w:p>
        </w:tc>
        <w:tc>
          <w:tcPr>
            <w:tcW w:w="1746"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A89535A">
            <w:pPr>
              <w:rPr>
                <w:rFonts w:hint="eastAsia" w:ascii="仿宋" w:hAnsi="仿宋" w:eastAsia="仿宋" w:cs="仿宋"/>
                <w:sz w:val="24"/>
                <w:szCs w:val="24"/>
                <w:highlight w:val="none"/>
              </w:rPr>
            </w:pPr>
          </w:p>
        </w:tc>
        <w:tc>
          <w:tcPr>
            <w:tcW w:w="248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D368C8A">
            <w:pPr>
              <w:rPr>
                <w:rFonts w:hint="eastAsia" w:ascii="仿宋" w:hAnsi="仿宋" w:eastAsia="仿宋" w:cs="仿宋"/>
                <w:sz w:val="24"/>
                <w:szCs w:val="24"/>
                <w:highlight w:val="none"/>
              </w:rPr>
            </w:pPr>
          </w:p>
        </w:tc>
      </w:tr>
    </w:tbl>
    <w:p w14:paraId="3AAA107A">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以上★号条款为招标文件中的所有★号条款，无论是技术指标或文字描述要求，投标人必须逐条如实地书面响应。</w:t>
      </w:r>
    </w:p>
    <w:p w14:paraId="52148C17">
      <w:pPr>
        <w:pStyle w:val="7"/>
        <w:ind w:firstLine="482"/>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投标人全称（加盖公章）：</w:t>
      </w:r>
      <w:r>
        <w:rPr>
          <w:rFonts w:hint="eastAsia" w:ascii="仿宋" w:hAnsi="仿宋" w:eastAsia="仿宋" w:cs="仿宋"/>
          <w:sz w:val="24"/>
          <w:szCs w:val="24"/>
          <w:highlight w:val="none"/>
          <w:u w:val="single"/>
        </w:rPr>
        <w:t xml:space="preserve">           </w:t>
      </w:r>
    </w:p>
    <w:p w14:paraId="255A8BA6">
      <w:pPr>
        <w:pStyle w:val="7"/>
        <w:ind w:firstLine="4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82A8C06">
      <w:pPr>
        <w:pStyle w:val="7"/>
        <w:ind w:firstLine="480"/>
        <w:jc w:val="center"/>
        <w:rPr>
          <w:rFonts w:hint="eastAsia" w:ascii="仿宋" w:hAnsi="仿宋" w:eastAsia="仿宋" w:cs="仿宋"/>
          <w:sz w:val="24"/>
          <w:szCs w:val="24"/>
          <w:highlight w:val="none"/>
        </w:rPr>
      </w:pPr>
      <w:r>
        <w:rPr>
          <w:rFonts w:hint="eastAsia" w:ascii="仿宋" w:hAnsi="仿宋" w:eastAsia="仿宋" w:cs="仿宋"/>
          <w:b/>
          <w:sz w:val="24"/>
          <w:szCs w:val="24"/>
          <w:highlight w:val="none"/>
        </w:rPr>
        <w:t>（二）技术商务评分响应索引表</w:t>
      </w:r>
    </w:p>
    <w:tbl>
      <w:tblPr>
        <w:tblStyle w:val="4"/>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29"/>
        <w:gridCol w:w="4408"/>
        <w:gridCol w:w="2879"/>
      </w:tblGrid>
      <w:tr w14:paraId="6457F72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16" w:type="dxa"/>
            <w:tcBorders>
              <w:top w:val="double" w:color="000000" w:sz="12" w:space="0"/>
              <w:left w:val="double" w:color="000000" w:sz="12" w:space="0"/>
              <w:bottom w:val="single" w:color="000000" w:sz="4" w:space="0"/>
              <w:right w:val="single" w:color="000000" w:sz="4" w:space="0"/>
            </w:tcBorders>
            <w:tcMar>
              <w:top w:w="0" w:type="dxa"/>
              <w:left w:w="105" w:type="dxa"/>
              <w:bottom w:w="0" w:type="dxa"/>
              <w:right w:w="105" w:type="dxa"/>
            </w:tcMar>
          </w:tcPr>
          <w:p w14:paraId="04AF296D">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5518" w:type="dxa"/>
            <w:tcBorders>
              <w:top w:val="double" w:color="000000" w:sz="12" w:space="0"/>
              <w:left w:val="single" w:color="000000" w:sz="4" w:space="0"/>
              <w:bottom w:val="single" w:color="000000" w:sz="4" w:space="0"/>
              <w:right w:val="single" w:color="000000" w:sz="4" w:space="0"/>
            </w:tcBorders>
            <w:tcMar>
              <w:top w:w="0" w:type="dxa"/>
              <w:left w:w="105" w:type="dxa"/>
              <w:bottom w:w="0" w:type="dxa"/>
              <w:right w:w="105" w:type="dxa"/>
            </w:tcMar>
          </w:tcPr>
          <w:p w14:paraId="39E09A64">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评分标准要求</w:t>
            </w:r>
          </w:p>
        </w:tc>
        <w:tc>
          <w:tcPr>
            <w:tcW w:w="3515" w:type="dxa"/>
            <w:tcBorders>
              <w:top w:val="double" w:color="000000" w:sz="12" w:space="0"/>
              <w:left w:val="single" w:color="000000" w:sz="4" w:space="0"/>
              <w:bottom w:val="single" w:color="000000" w:sz="4" w:space="0"/>
              <w:right w:val="double" w:color="000000" w:sz="12" w:space="0"/>
            </w:tcBorders>
            <w:tcMar>
              <w:top w:w="0" w:type="dxa"/>
              <w:left w:w="105" w:type="dxa"/>
              <w:bottom w:w="0" w:type="dxa"/>
              <w:right w:w="105" w:type="dxa"/>
            </w:tcMar>
          </w:tcPr>
          <w:p w14:paraId="4D02E94E">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对应投标文件页码</w:t>
            </w:r>
          </w:p>
        </w:tc>
      </w:tr>
      <w:tr w14:paraId="117FBA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49" w:type="dxa"/>
            <w:gridSpan w:val="3"/>
            <w:tcBorders>
              <w:top w:val="single" w:color="000000" w:sz="4" w:space="0"/>
              <w:left w:val="double" w:color="000000" w:sz="12" w:space="0"/>
              <w:bottom w:val="single" w:color="000000" w:sz="4" w:space="0"/>
              <w:right w:val="double" w:color="000000" w:sz="12" w:space="0"/>
            </w:tcBorders>
            <w:tcMar>
              <w:top w:w="0" w:type="dxa"/>
              <w:left w:w="105" w:type="dxa"/>
              <w:bottom w:w="0" w:type="dxa"/>
              <w:right w:w="105" w:type="dxa"/>
            </w:tcMar>
          </w:tcPr>
          <w:p w14:paraId="5FC966E3">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技术因素评分</w:t>
            </w:r>
          </w:p>
        </w:tc>
      </w:tr>
      <w:tr w14:paraId="4DA8E2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16" w:type="dxa"/>
            <w:tcBorders>
              <w:top w:val="single" w:color="000000" w:sz="4" w:space="0"/>
              <w:left w:val="double" w:color="000000" w:sz="12" w:space="0"/>
              <w:bottom w:val="single" w:color="000000" w:sz="4" w:space="0"/>
              <w:right w:val="single" w:color="000000" w:sz="4" w:space="0"/>
            </w:tcBorders>
            <w:tcMar>
              <w:top w:w="0" w:type="dxa"/>
              <w:left w:w="105" w:type="dxa"/>
              <w:bottom w:w="0" w:type="dxa"/>
              <w:right w:w="105" w:type="dxa"/>
            </w:tcMar>
          </w:tcPr>
          <w:p w14:paraId="1CD5D449">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551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CAE0599">
            <w:pPr>
              <w:pStyle w:val="7"/>
              <w:ind w:firstLine="380"/>
              <w:jc w:val="center"/>
              <w:rPr>
                <w:rFonts w:hint="eastAsia" w:ascii="仿宋" w:hAnsi="仿宋" w:eastAsia="仿宋" w:cs="仿宋"/>
                <w:sz w:val="24"/>
                <w:szCs w:val="24"/>
                <w:highlight w:val="none"/>
              </w:rPr>
            </w:pPr>
          </w:p>
        </w:tc>
        <w:tc>
          <w:tcPr>
            <w:tcW w:w="3515" w:type="dxa"/>
            <w:tcBorders>
              <w:top w:val="single" w:color="000000" w:sz="4" w:space="0"/>
              <w:left w:val="single" w:color="000000" w:sz="4" w:space="0"/>
              <w:bottom w:val="single" w:color="000000" w:sz="4" w:space="0"/>
              <w:right w:val="double" w:color="000000" w:sz="12" w:space="0"/>
            </w:tcBorders>
            <w:tcMar>
              <w:top w:w="0" w:type="dxa"/>
              <w:left w:w="105" w:type="dxa"/>
              <w:bottom w:w="0" w:type="dxa"/>
              <w:right w:w="105" w:type="dxa"/>
            </w:tcMar>
          </w:tcPr>
          <w:p w14:paraId="72660632">
            <w:pPr>
              <w:rPr>
                <w:rFonts w:hint="eastAsia" w:ascii="仿宋" w:hAnsi="仿宋" w:eastAsia="仿宋" w:cs="仿宋"/>
                <w:sz w:val="24"/>
                <w:szCs w:val="24"/>
                <w:highlight w:val="none"/>
              </w:rPr>
            </w:pPr>
          </w:p>
        </w:tc>
      </w:tr>
      <w:tr w14:paraId="0107D3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16" w:type="dxa"/>
            <w:tcBorders>
              <w:top w:val="single" w:color="000000" w:sz="4" w:space="0"/>
              <w:left w:val="double" w:color="000000" w:sz="12" w:space="0"/>
              <w:bottom w:val="single" w:color="000000" w:sz="4" w:space="0"/>
              <w:right w:val="single" w:color="000000" w:sz="4" w:space="0"/>
            </w:tcBorders>
            <w:tcMar>
              <w:top w:w="0" w:type="dxa"/>
              <w:left w:w="105" w:type="dxa"/>
              <w:bottom w:w="0" w:type="dxa"/>
              <w:right w:w="105" w:type="dxa"/>
            </w:tcMar>
          </w:tcPr>
          <w:p w14:paraId="1DE12D1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1-2</w:t>
            </w:r>
          </w:p>
        </w:tc>
        <w:tc>
          <w:tcPr>
            <w:tcW w:w="551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FA6A7AC">
            <w:pPr>
              <w:pStyle w:val="7"/>
              <w:ind w:firstLine="380"/>
              <w:jc w:val="center"/>
              <w:rPr>
                <w:rFonts w:hint="eastAsia" w:ascii="仿宋" w:hAnsi="仿宋" w:eastAsia="仿宋" w:cs="仿宋"/>
                <w:sz w:val="24"/>
                <w:szCs w:val="24"/>
                <w:highlight w:val="none"/>
              </w:rPr>
            </w:pPr>
          </w:p>
        </w:tc>
        <w:tc>
          <w:tcPr>
            <w:tcW w:w="3515" w:type="dxa"/>
            <w:tcBorders>
              <w:top w:val="single" w:color="000000" w:sz="4" w:space="0"/>
              <w:left w:val="single" w:color="000000" w:sz="4" w:space="0"/>
              <w:bottom w:val="single" w:color="000000" w:sz="4" w:space="0"/>
              <w:right w:val="double" w:color="000000" w:sz="12" w:space="0"/>
            </w:tcBorders>
            <w:tcMar>
              <w:top w:w="0" w:type="dxa"/>
              <w:left w:w="105" w:type="dxa"/>
              <w:bottom w:w="0" w:type="dxa"/>
              <w:right w:w="105" w:type="dxa"/>
            </w:tcMar>
          </w:tcPr>
          <w:p w14:paraId="71500899">
            <w:pPr>
              <w:rPr>
                <w:rFonts w:hint="eastAsia" w:ascii="仿宋" w:hAnsi="仿宋" w:eastAsia="仿宋" w:cs="仿宋"/>
                <w:sz w:val="24"/>
                <w:szCs w:val="24"/>
                <w:highlight w:val="none"/>
              </w:rPr>
            </w:pPr>
          </w:p>
        </w:tc>
      </w:tr>
      <w:tr w14:paraId="461CE44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349" w:type="dxa"/>
            <w:gridSpan w:val="3"/>
            <w:tcBorders>
              <w:top w:val="single" w:color="000000" w:sz="4" w:space="0"/>
              <w:left w:val="double" w:color="000000" w:sz="12" w:space="0"/>
              <w:bottom w:val="single" w:color="000000" w:sz="4" w:space="0"/>
              <w:right w:val="double" w:color="000000" w:sz="12" w:space="0"/>
            </w:tcBorders>
            <w:tcMar>
              <w:top w:w="0" w:type="dxa"/>
              <w:left w:w="105" w:type="dxa"/>
              <w:bottom w:w="0" w:type="dxa"/>
              <w:right w:w="105" w:type="dxa"/>
            </w:tcMar>
          </w:tcPr>
          <w:p w14:paraId="4FB343C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商务因素评分</w:t>
            </w:r>
          </w:p>
        </w:tc>
      </w:tr>
      <w:tr w14:paraId="724D6C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16" w:type="dxa"/>
            <w:tcBorders>
              <w:top w:val="single" w:color="000000" w:sz="4" w:space="0"/>
              <w:left w:val="double" w:color="000000" w:sz="12" w:space="0"/>
              <w:bottom w:val="single" w:color="000000" w:sz="4" w:space="0"/>
              <w:right w:val="single" w:color="000000" w:sz="4" w:space="0"/>
            </w:tcBorders>
            <w:tcMar>
              <w:top w:w="0" w:type="dxa"/>
              <w:left w:w="105" w:type="dxa"/>
              <w:bottom w:w="0" w:type="dxa"/>
              <w:right w:w="105" w:type="dxa"/>
            </w:tcMar>
          </w:tcPr>
          <w:p w14:paraId="2C179B43">
            <w:pPr>
              <w:pStyle w:val="7"/>
              <w:ind w:firstLine="3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2-1</w:t>
            </w:r>
          </w:p>
        </w:tc>
        <w:tc>
          <w:tcPr>
            <w:tcW w:w="551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5AF220C3">
            <w:pPr>
              <w:pStyle w:val="7"/>
              <w:ind w:firstLine="380"/>
              <w:jc w:val="center"/>
              <w:rPr>
                <w:rFonts w:hint="eastAsia" w:ascii="仿宋" w:hAnsi="仿宋" w:eastAsia="仿宋" w:cs="仿宋"/>
                <w:sz w:val="24"/>
                <w:szCs w:val="24"/>
                <w:highlight w:val="none"/>
              </w:rPr>
            </w:pPr>
          </w:p>
        </w:tc>
        <w:tc>
          <w:tcPr>
            <w:tcW w:w="3515" w:type="dxa"/>
            <w:tcBorders>
              <w:top w:val="single" w:color="000000" w:sz="4" w:space="0"/>
              <w:left w:val="single" w:color="000000" w:sz="4" w:space="0"/>
              <w:bottom w:val="single" w:color="000000" w:sz="4" w:space="0"/>
              <w:right w:val="double" w:color="000000" w:sz="12" w:space="0"/>
            </w:tcBorders>
            <w:tcMar>
              <w:top w:w="0" w:type="dxa"/>
              <w:left w:w="105" w:type="dxa"/>
              <w:bottom w:w="0" w:type="dxa"/>
              <w:right w:w="105" w:type="dxa"/>
            </w:tcMar>
          </w:tcPr>
          <w:p w14:paraId="04B73DA2">
            <w:pPr>
              <w:rPr>
                <w:rFonts w:hint="eastAsia" w:ascii="仿宋" w:hAnsi="仿宋" w:eastAsia="仿宋" w:cs="仿宋"/>
                <w:sz w:val="24"/>
                <w:szCs w:val="24"/>
                <w:highlight w:val="none"/>
              </w:rPr>
            </w:pPr>
          </w:p>
        </w:tc>
      </w:tr>
      <w:tr w14:paraId="0D0D742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316" w:type="dxa"/>
            <w:tcBorders>
              <w:top w:val="single" w:color="000000" w:sz="4" w:space="0"/>
              <w:left w:val="double" w:color="000000" w:sz="12" w:space="0"/>
              <w:bottom w:val="double" w:color="000000" w:sz="12" w:space="0"/>
              <w:right w:val="single" w:color="000000" w:sz="4" w:space="0"/>
            </w:tcBorders>
            <w:tcMar>
              <w:top w:w="0" w:type="dxa"/>
              <w:left w:w="105" w:type="dxa"/>
              <w:bottom w:w="0" w:type="dxa"/>
              <w:right w:w="105" w:type="dxa"/>
            </w:tcMar>
          </w:tcPr>
          <w:p w14:paraId="4A1861F0">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2-2</w:t>
            </w:r>
          </w:p>
        </w:tc>
        <w:tc>
          <w:tcPr>
            <w:tcW w:w="5518" w:type="dxa"/>
            <w:tcBorders>
              <w:top w:val="single" w:color="000000" w:sz="4" w:space="0"/>
              <w:left w:val="single" w:color="000000" w:sz="4" w:space="0"/>
              <w:bottom w:val="double" w:color="000000" w:sz="12" w:space="0"/>
              <w:right w:val="single" w:color="000000" w:sz="4" w:space="0"/>
            </w:tcBorders>
            <w:tcMar>
              <w:top w:w="0" w:type="dxa"/>
              <w:left w:w="105" w:type="dxa"/>
              <w:bottom w:w="0" w:type="dxa"/>
              <w:right w:w="105" w:type="dxa"/>
            </w:tcMar>
          </w:tcPr>
          <w:p w14:paraId="554A444F">
            <w:pPr>
              <w:pStyle w:val="7"/>
              <w:ind w:firstLine="380"/>
              <w:jc w:val="center"/>
              <w:rPr>
                <w:rFonts w:hint="eastAsia" w:ascii="仿宋" w:hAnsi="仿宋" w:eastAsia="仿宋" w:cs="仿宋"/>
                <w:sz w:val="24"/>
                <w:szCs w:val="24"/>
                <w:highlight w:val="none"/>
              </w:rPr>
            </w:pPr>
          </w:p>
        </w:tc>
        <w:tc>
          <w:tcPr>
            <w:tcW w:w="3515" w:type="dxa"/>
            <w:tcBorders>
              <w:top w:val="single" w:color="000000" w:sz="4" w:space="0"/>
              <w:left w:val="single" w:color="000000" w:sz="4" w:space="0"/>
              <w:bottom w:val="double" w:color="000000" w:sz="12" w:space="0"/>
              <w:right w:val="double" w:color="000000" w:sz="12" w:space="0"/>
            </w:tcBorders>
            <w:tcMar>
              <w:top w:w="0" w:type="dxa"/>
              <w:left w:w="105" w:type="dxa"/>
              <w:bottom w:w="0" w:type="dxa"/>
              <w:right w:w="105" w:type="dxa"/>
            </w:tcMar>
          </w:tcPr>
          <w:p w14:paraId="58C21F9B">
            <w:pPr>
              <w:rPr>
                <w:rFonts w:hint="eastAsia" w:ascii="仿宋" w:hAnsi="仿宋" w:eastAsia="仿宋" w:cs="仿宋"/>
                <w:sz w:val="24"/>
                <w:szCs w:val="24"/>
                <w:highlight w:val="none"/>
              </w:rPr>
            </w:pPr>
          </w:p>
        </w:tc>
      </w:tr>
    </w:tbl>
    <w:p w14:paraId="42B581C9">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关于串标情形及后果的告知函</w:t>
      </w:r>
    </w:p>
    <w:p w14:paraId="0CEBD496">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根据《厦门市财政局关于加强涉嫌串通投标情形处理的通知》要求，现将有关串标情形及后果的规定列明如下，请各</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仔细阅读，在参与本项目采购活动中，要遵纪守法，公平参与竞争，不得从事违法行为，否则将依法承担相应责任：</w:t>
      </w:r>
    </w:p>
    <w:p w14:paraId="614D9BA5">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一、串标情形</w:t>
      </w:r>
    </w:p>
    <w:p w14:paraId="2EC6CE91">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1、《政府采购法》第二十五条</w:t>
      </w:r>
      <w:r>
        <w:rPr>
          <w:rFonts w:hint="eastAsia" w:ascii="仿宋" w:hAnsi="仿宋" w:eastAsia="仿宋" w:cs="仿宋"/>
          <w:sz w:val="24"/>
          <w:szCs w:val="24"/>
          <w:highlight w:val="none"/>
        </w:rPr>
        <w:t>：政府采购当事人不得相互串通损害国家利益、社会公共利益和其他当事人的合法权益；不得以任何手段排斥其他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参与竞争。</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不得以向采购人、采购代理机构、评标委员会的组成人员、竞争性谈判小组的组成人员、询价小组的组成人员行贿或者采取其他不正当手段谋取中标或者成交。</w:t>
      </w:r>
    </w:p>
    <w:p w14:paraId="27562C0B">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2、《政府采购法实施条例》第七十四条</w:t>
      </w:r>
      <w:r>
        <w:rPr>
          <w:rFonts w:hint="eastAsia" w:ascii="仿宋" w:hAnsi="仿宋" w:eastAsia="仿宋" w:cs="仿宋"/>
          <w:sz w:val="24"/>
          <w:szCs w:val="24"/>
          <w:highlight w:val="none"/>
        </w:rPr>
        <w:t>：有下列情形之一的，属于恶意串通，对</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依照政府采购法第七十七条第一款的规定追究法律责任，对采购人、采购代理机构及其工作人员依照政府采购法第七十二条的规定追究法律责任：</w:t>
      </w:r>
    </w:p>
    <w:p w14:paraId="0A28CA4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直接或者间接从采购人或者采购代理机构处获得其他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的相关情况并修改其投标文件或者响应文件；</w:t>
      </w:r>
    </w:p>
    <w:p w14:paraId="583184A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按照采购人或者采购代理机构的授意撤换、修改投标文件或者响应文件；</w:t>
      </w:r>
    </w:p>
    <w:p w14:paraId="24518C0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之间协商报价、技术方案等投标文件或者响应文件的实质性内容；</w:t>
      </w:r>
    </w:p>
    <w:p w14:paraId="4F8C690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（四）属于同一集团、协会、商会等组织成员的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按照该组织要求协同参加政府采购活动；</w:t>
      </w:r>
    </w:p>
    <w:p w14:paraId="088F514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（五）</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之间事先约定由某一特定</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中标、成交；</w:t>
      </w:r>
    </w:p>
    <w:p w14:paraId="01F5DD4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（六）</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之间商定部分</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放弃参加政府采购活动或者放弃中标、成交；</w:t>
      </w:r>
    </w:p>
    <w:p w14:paraId="104E80C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（七）</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与采购人或者采购代理机构之间、</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相互之间，为谋求特定</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中标、成交或者排斥其他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的其他串通行为。</w:t>
      </w:r>
    </w:p>
    <w:p w14:paraId="2D39830E">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3、《政府采购货物和服务招标投标管理办法》（财政部令第87号）第三十七条</w:t>
      </w:r>
      <w:r>
        <w:rPr>
          <w:rFonts w:hint="eastAsia" w:ascii="仿宋" w:hAnsi="仿宋" w:eastAsia="仿宋" w:cs="仿宋"/>
          <w:sz w:val="24"/>
          <w:szCs w:val="24"/>
          <w:highlight w:val="none"/>
        </w:rPr>
        <w:t>：有下列情形之一的，视为投标人串通投标，其投标无效：</w:t>
      </w:r>
    </w:p>
    <w:p w14:paraId="1F17B1EA">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（一）不同投标人的投标文件由同一单位或者个人编制；</w:t>
      </w:r>
    </w:p>
    <w:p w14:paraId="78313C6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（二）不同投标人委托同一单位或者个人办理投标事宜；</w:t>
      </w:r>
    </w:p>
    <w:p w14:paraId="62E4DD7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（三）不同投标人的投标文件载明的项目管理成员或者联系人员为同一人；</w:t>
      </w:r>
    </w:p>
    <w:p w14:paraId="6BC68B68">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（四）不同投标人的投标文件异常一致或者投标报价呈规律性差异；</w:t>
      </w:r>
    </w:p>
    <w:p w14:paraId="46B6C56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（五）不同投标人的投标文件相互混装；</w:t>
      </w:r>
    </w:p>
    <w:p w14:paraId="653FE6E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（六）不同投标人的投标保证金从同一单位或者个人的账户转出。</w:t>
      </w:r>
    </w:p>
    <w:p w14:paraId="16215FE6">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4、《福建省财政厅关于电子化政府采购项目中视为串标情形认定与处理的指导意见》（闽财购〔2018〕30号）</w:t>
      </w:r>
    </w:p>
    <w:p w14:paraId="37D6D4D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一、电子化招标项目视为串通情形的认定</w:t>
      </w:r>
    </w:p>
    <w:p w14:paraId="69177DC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（一）保证金验核阶段</w:t>
      </w:r>
    </w:p>
    <w:p w14:paraId="2F763E62">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不同投标人的投标保证金转出账户的银行账户名称相同的，属于《政府采购货物和服务招标投标管理办法》（财政部令第87号）第三十七条第（六）项“不同投标人的投标保证金从同一单位或者个人的账户转出”的情形。</w:t>
      </w:r>
    </w:p>
    <w:p w14:paraId="6861304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（二）电子响应文件解密阶段 </w:t>
      </w:r>
    </w:p>
    <w:p w14:paraId="3BDF10D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电子响应文件的个性特征与本采购项目的其他响应人存在雷同的，按照以下方式进行认定：</w:t>
      </w:r>
    </w:p>
    <w:p w14:paraId="297F23B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14:paraId="240996A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14:paraId="5CF69DAD">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14:paraId="618A3BEE">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5、《福建省财政厅关于福建省省级政府采购货物和服务项目招标文件编制指引和实施指引的补充通知（三）》（闽财购〔2010〕28号）</w:t>
      </w:r>
    </w:p>
    <w:p w14:paraId="512EDB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评标委员会在评标过程中发现投标人存在下列情形之一的，可认定其有串通投标行为，并做出其投标无效的决定：</w:t>
      </w:r>
    </w:p>
    <w:p w14:paraId="58E956D5">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（一）不同投标人的投标文件错、漏之处一致或雷同，且不能合理解释的；</w:t>
      </w:r>
    </w:p>
    <w:p w14:paraId="622CA94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（二）不同的投标人的法定代表人、委托代理人等由同一个单位缴纳社会保险的；</w:t>
      </w:r>
    </w:p>
    <w:p w14:paraId="5DB5E89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（三）由同一人或分别由几个有利害关系人携带两个以上（含两个）投标人的企业资料参与资格审查、领取招标资料，或代表两个以上（含两个）投标人参加招标答疑会、交纳或退还投标保证金、开标的；</w:t>
      </w:r>
    </w:p>
    <w:p w14:paraId="72076136">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（四）有关法律、法规或规章规定的其他串通投标行为。</w:t>
      </w:r>
    </w:p>
    <w:p w14:paraId="78A178D4">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二、后果</w:t>
      </w:r>
    </w:p>
    <w:p w14:paraId="1333BA43">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1、《政府采购法》第七十七条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1A875F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（三）与采购人、其他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或者采购代理机构恶意串通的；</w:t>
      </w:r>
    </w:p>
    <w:p w14:paraId="0835CD74">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有前款第（一）至（五）项情形之一的，中标、成交无效。</w:t>
      </w:r>
    </w:p>
    <w:p w14:paraId="328D3308">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2、《福建省财政厅关于电子化政府采购项目中视为串标情形认定与处理的指导意见》（闽财购〔2018〕30号）</w:t>
      </w:r>
    </w:p>
    <w:p w14:paraId="2447714B">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在开标过程中，发现投标（响应）人有上述情形的，采购人、采购代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p w14:paraId="0F2825AE">
      <w:pPr>
        <w:pStyle w:val="7"/>
        <w:ind w:firstLine="482"/>
        <w:jc w:val="both"/>
        <w:rPr>
          <w:rFonts w:hint="eastAsia" w:ascii="仿宋" w:hAnsi="仿宋" w:eastAsia="仿宋" w:cs="仿宋"/>
          <w:sz w:val="24"/>
          <w:szCs w:val="24"/>
          <w:highlight w:val="none"/>
        </w:rPr>
      </w:pPr>
      <w:r>
        <w:rPr>
          <w:rFonts w:hint="eastAsia" w:ascii="仿宋" w:hAnsi="仿宋" w:eastAsia="仿宋" w:cs="仿宋"/>
          <w:b/>
          <w:sz w:val="24"/>
          <w:szCs w:val="24"/>
          <w:highlight w:val="none"/>
        </w:rPr>
        <w:t>三、虚假应标风险提示</w:t>
      </w:r>
    </w:p>
    <w:p w14:paraId="04BF99DC">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政府采购法第七十七条规定：“供 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对“提供虚假材料谋取中标的违法行为”的执法力度。相关行政处罚案件，供 应商可登陆中国政府采购网的“政府采购严重违法失信行为记录名单”查询，望引以为戒。</w:t>
      </w:r>
    </w:p>
    <w:p w14:paraId="5BD7C2A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廉洁告知书</w:t>
      </w:r>
    </w:p>
    <w:p w14:paraId="6DEC5B5F">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（投标人单位名称）</w:t>
      </w:r>
      <w:r>
        <w:rPr>
          <w:rFonts w:hint="eastAsia" w:ascii="仿宋" w:hAnsi="仿宋" w:eastAsia="仿宋" w:cs="仿宋"/>
          <w:sz w:val="24"/>
          <w:szCs w:val="24"/>
          <w:highlight w:val="none"/>
        </w:rPr>
        <w:t>：</w:t>
      </w:r>
    </w:p>
    <w:p w14:paraId="66037499">
      <w:pPr>
        <w:pStyle w:val="7"/>
        <w:ind w:firstLine="64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为进一步完善厦门市属公立医疗单位采购监督制约机制，防止发生医疗领域商业贿赂行为，贵司在医疗机构采购活动中要廉洁自律、诚实守信，遵守如下规定：</w:t>
      </w:r>
    </w:p>
    <w:p w14:paraId="03053F0E">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严格遵守国家有关工程建设、招标投标、物资采购、服务采购等相关法律法规、政策以及廉政建设规定。</w:t>
      </w:r>
    </w:p>
    <w:p w14:paraId="6BB5DA35">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坚持公平、公正、公开和诚实守信的原则，不得为获取不正当利益损害国家、集体、</w:t>
      </w:r>
      <w:r>
        <w:rPr>
          <w:rFonts w:hint="eastAsia" w:ascii="仿宋" w:hAnsi="仿宋" w:eastAsia="仿宋" w:cs="仿宋"/>
          <w:color w:val="000000"/>
          <w:sz w:val="24"/>
          <w:szCs w:val="24"/>
          <w:highlight w:val="none"/>
        </w:rPr>
        <w:t>第三人</w:t>
      </w:r>
      <w:r>
        <w:rPr>
          <w:rFonts w:hint="eastAsia" w:ascii="仿宋" w:hAnsi="仿宋" w:eastAsia="仿宋" w:cs="仿宋"/>
          <w:sz w:val="24"/>
          <w:szCs w:val="24"/>
          <w:highlight w:val="none"/>
        </w:rPr>
        <w:t>和对方利益。</w:t>
      </w:r>
    </w:p>
    <w:p w14:paraId="331E5355">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不得有商业贿赂行为，如赠予甲方人员现金、物品、有价证券，或以支付凭证、理财等方式变相支付本应由甲方人员承担的款项。 </w:t>
      </w:r>
    </w:p>
    <w:p w14:paraId="1029440F">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不得以任何理由邀请甲方人员进入营业性娱乐场所或者参加影响业务工作公平公正开展的其他活动。</w:t>
      </w:r>
    </w:p>
    <w:p w14:paraId="658A0645">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不得到甲方医疗场所、工作人员家中推销产品并提供任何好处费，不得采用不正当手段进行临床促销活动。</w:t>
      </w:r>
    </w:p>
    <w:p w14:paraId="4A91DA7D">
      <w:pPr>
        <w:pStyle w:val="7"/>
        <w:numPr>
          <w:ilvl w:val="0"/>
          <w:numId w:val="2"/>
        </w:numPr>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不得以回扣、宴请等方式影响甲方人员采购或使用医药产品的选择权，不得在学术活动中提供旅游、超标准支付食宿费用。</w:t>
      </w:r>
    </w:p>
    <w:p w14:paraId="07ADAC35">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如违反上述规定，甲方有权选择立即中止、终止或解除与贵司正在进行的任何业务关系，贵司应承担甲方因此产生的经济损失、不良后果及相应的违约责任。</w:t>
      </w:r>
    </w:p>
    <w:p w14:paraId="7C6E8D08">
      <w:pPr>
        <w:pStyle w:val="7"/>
        <w:ind w:firstLine="565"/>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厦门大学附属心血管病医院</w:t>
      </w:r>
    </w:p>
    <w:p w14:paraId="01E16538">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年  月  日</w:t>
      </w:r>
    </w:p>
    <w:p w14:paraId="2D5CE8B0">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 xml:space="preserve">                                                                 </w:t>
      </w:r>
    </w:p>
    <w:p w14:paraId="00BAA6F8">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lang w:eastAsia="zh-CN"/>
        </w:rPr>
        <w:t>厦门大学附属心血管病医院</w:t>
      </w:r>
      <w:r>
        <w:rPr>
          <w:rFonts w:hint="eastAsia" w:ascii="仿宋" w:hAnsi="仿宋" w:eastAsia="仿宋" w:cs="仿宋"/>
          <w:sz w:val="24"/>
          <w:szCs w:val="24"/>
          <w:highlight w:val="none"/>
          <w:u w:val="single"/>
        </w:rPr>
        <w:t>廉洁告知书我已收到，内容我已知悉并理解，我方承诺将严格按照《廉洁告知书》相关内容履行。</w:t>
      </w:r>
    </w:p>
    <w:p w14:paraId="6D846939">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签字：（法人签字）</w:t>
      </w:r>
    </w:p>
    <w:p w14:paraId="0419FA55">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单位盖章：（投标人单位名称+盖章）</w:t>
      </w:r>
    </w:p>
    <w:p w14:paraId="13B31888">
      <w:pPr>
        <w:pStyle w:val="7"/>
        <w:ind w:firstLine="504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14:paraId="49A62C15">
      <w:pPr>
        <w:pStyle w:val="7"/>
        <w:spacing w:after="60"/>
        <w:ind w:left="1800" w:right="1800"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医疗设备联网信息安全承诺书</w:t>
      </w:r>
    </w:p>
    <w:p w14:paraId="235DE33E">
      <w:pPr>
        <w:pStyle w:val="7"/>
        <w:spacing w:after="60"/>
        <w:ind w:left="1800" w:right="1800"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厦门大学附属心血管病医院</w:t>
      </w:r>
      <w:r>
        <w:rPr>
          <w:rFonts w:hint="eastAsia" w:ascii="仿宋" w:hAnsi="仿宋" w:eastAsia="仿宋" w:cs="仿宋"/>
          <w:sz w:val="24"/>
          <w:szCs w:val="24"/>
          <w:highlight w:val="none"/>
        </w:rPr>
        <w:t>：</w:t>
      </w:r>
    </w:p>
    <w:p w14:paraId="1D071FA6">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本公司提供的医疗设备在运行服务过程中保证遵守甲方的联网信息安全要求。包括但不限于：</w:t>
      </w:r>
    </w:p>
    <w:p w14:paraId="115FC2D1">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一、自觉遵守《网络安全法》、《数据安全法》、《个人信息保护法》等有关要求，以及甲方设备联网的各项规定。</w:t>
      </w:r>
    </w:p>
    <w:p w14:paraId="3FD4FB6A">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二、医疗设备禁止预留数据导出后门。</w:t>
      </w:r>
    </w:p>
    <w:p w14:paraId="08E70C2B">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三、未经甲方许可，不得将设备联网。</w:t>
      </w:r>
    </w:p>
    <w:p w14:paraId="3918A39D">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四、未经甲方许可，不得私自使用移动存储拷贝涉及患者隐私信息、医疗数据、设备原始数据统计等信息。</w:t>
      </w:r>
    </w:p>
    <w:p w14:paraId="7A7A9D18">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五、接入互联网的医疗设备必须提供第三方机构的安全评估报告。</w:t>
      </w:r>
    </w:p>
    <w:p w14:paraId="3E62B559">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六、医疗设备使用期间如有存在设备漏洞危及信息安全时，乙方需无条件配合甲方协查、处理。</w:t>
      </w:r>
    </w:p>
    <w:p w14:paraId="49739DEC">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七、乙方工作人员操作甲方电脑前需签订《外来人员信息安全保密承诺书》。</w:t>
      </w:r>
    </w:p>
    <w:p w14:paraId="5C306736">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以上承诺本公司严格履行，如有违反承诺之处，本公司及具体经办人员自愿承担相应责任。</w:t>
      </w:r>
    </w:p>
    <w:p w14:paraId="5F2DE203">
      <w:pPr>
        <w:pStyle w:val="7"/>
        <w:ind w:firstLine="565"/>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签字：（法人代表或授权承诺人）</w:t>
      </w:r>
    </w:p>
    <w:p w14:paraId="6207FE97">
      <w:pPr>
        <w:pStyle w:val="7"/>
        <w:ind w:firstLine="3642"/>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单位盖章：（投标人单位名称+盖章）</w:t>
      </w:r>
    </w:p>
    <w:p w14:paraId="37E0E25D">
      <w:pPr>
        <w:pStyle w:val="7"/>
        <w:ind w:firstLine="56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p>
    <w:p w14:paraId="5B30591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59794D5">
      <w:pPr>
        <w:pStyle w:val="7"/>
        <w:jc w:val="both"/>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四、其他事项</w:t>
      </w:r>
    </w:p>
    <w:p w14:paraId="6B858C2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1、除招标文件另有规定外，若出现有关法律、法规和规章有强制性规定但招标文件未列明的情形，则投标人应按照有关法律、法规和规章强制性规定执行。</w:t>
      </w:r>
    </w:p>
    <w:p w14:paraId="503E2507">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2、其他：</w:t>
      </w:r>
    </w:p>
    <w:p w14:paraId="026F18E1">
      <w:pPr>
        <w:pStyle w:val="7"/>
        <w:ind w:firstLine="48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详见其他商务要求中的“补充条款”。</w:t>
      </w:r>
    </w:p>
    <w:p w14:paraId="55CF39BA">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35DA7D34">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第六章 政府采购合同</w:t>
      </w:r>
    </w:p>
    <w:p w14:paraId="38E67A09">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参考文本</w:t>
      </w:r>
    </w:p>
    <w:p w14:paraId="0B524EBE">
      <w:pPr>
        <w:pStyle w:val="7"/>
        <w:jc w:val="center"/>
        <w:outlineLvl w:val="0"/>
        <w:rPr>
          <w:rFonts w:hint="eastAsia" w:ascii="仿宋" w:hAnsi="仿宋" w:eastAsia="仿宋" w:cs="仿宋"/>
          <w:sz w:val="24"/>
          <w:szCs w:val="24"/>
          <w:highlight w:val="none"/>
        </w:rPr>
      </w:pPr>
      <w:r>
        <w:rPr>
          <w:rFonts w:hint="eastAsia" w:ascii="仿宋" w:hAnsi="仿宋" w:eastAsia="仿宋" w:cs="仿宋"/>
          <w:b/>
          <w:sz w:val="24"/>
          <w:szCs w:val="24"/>
          <w:highlight w:val="none"/>
        </w:rPr>
        <w:t>政府采购货物买卖合同</w:t>
      </w:r>
    </w:p>
    <w:p w14:paraId="5FC1850D">
      <w:pPr>
        <w:pStyle w:val="7"/>
        <w:jc w:val="center"/>
        <w:outlineLvl w:val="0"/>
        <w:rPr>
          <w:rFonts w:hint="eastAsia" w:ascii="仿宋" w:hAnsi="仿宋" w:eastAsia="仿宋" w:cs="仿宋"/>
          <w:sz w:val="24"/>
          <w:szCs w:val="24"/>
          <w:highlight w:val="none"/>
        </w:rPr>
      </w:pPr>
      <w:r>
        <w:rPr>
          <w:rFonts w:hint="eastAsia" w:ascii="仿宋" w:hAnsi="仿宋" w:eastAsia="仿宋" w:cs="仿宋"/>
          <w:b/>
          <w:sz w:val="24"/>
          <w:szCs w:val="24"/>
          <w:highlight w:val="none"/>
        </w:rPr>
        <w:t>（试行）</w:t>
      </w:r>
    </w:p>
    <w:p w14:paraId="29F88316">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项目名称： __________________________</w:t>
      </w:r>
    </w:p>
    <w:p w14:paraId="4ADDA1C4">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合同编号： __________________________</w:t>
      </w:r>
    </w:p>
    <w:p w14:paraId="6BB83E6D">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甲   方： __________________________</w:t>
      </w:r>
    </w:p>
    <w:p w14:paraId="05BEF542">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乙   方：__________________________</w:t>
      </w:r>
    </w:p>
    <w:p w14:paraId="1BCAA7BA">
      <w:pPr>
        <w:pStyle w:val="7"/>
        <w:jc w:val="left"/>
        <w:rPr>
          <w:rFonts w:hint="eastAsia" w:ascii="仿宋" w:hAnsi="仿宋" w:eastAsia="仿宋" w:cs="仿宋"/>
          <w:sz w:val="24"/>
          <w:szCs w:val="24"/>
          <w:highlight w:val="none"/>
        </w:rPr>
      </w:pPr>
      <w:r>
        <w:rPr>
          <w:rFonts w:hint="eastAsia" w:ascii="仿宋" w:hAnsi="仿宋" w:eastAsia="仿宋" w:cs="仿宋"/>
          <w:b/>
          <w:sz w:val="24"/>
          <w:szCs w:val="24"/>
          <w:highlight w:val="none"/>
        </w:rPr>
        <w:t>签订时间：__________________________</w:t>
      </w:r>
    </w:p>
    <w:p w14:paraId="215015F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1264B691">
      <w:pPr>
        <w:pStyle w:val="7"/>
        <w:jc w:val="center"/>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使用说明</w:t>
      </w:r>
    </w:p>
    <w:p w14:paraId="47FE83E3">
      <w:pPr>
        <w:pStyle w:val="7"/>
        <w:jc w:val="left"/>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1.本合同标准文本适用于购买现成货物的采购项目，不包括需要</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定制开发、创新研发的货物采购项目。</w:t>
      </w:r>
    </w:p>
    <w:p w14:paraId="27F690B9">
      <w:pPr>
        <w:pStyle w:val="7"/>
        <w:jc w:val="left"/>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2.本合同标准文本为政府采购货物买卖合同编制提供参考，可以结合采购项目具体情况，对文本作必要的调整修订后使用。</w:t>
      </w:r>
    </w:p>
    <w:p w14:paraId="05CB42DB">
      <w:pPr>
        <w:pStyle w:val="7"/>
        <w:jc w:val="left"/>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3.本合同标准文本各条款中，如涉及填写多家</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、制造商，多种采购标的、分包主要内容等信息的，可根据采购项目具体情况添加信息项。</w:t>
      </w:r>
    </w:p>
    <w:p w14:paraId="3E0D1D44">
      <w:pPr>
        <w:pStyle w:val="7"/>
        <w:jc w:val="center"/>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第一节 政府采购合同协议书</w:t>
      </w:r>
    </w:p>
    <w:p w14:paraId="38B08A5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甲方（全称）：___________________________（采购人、受采购人委托签订合同的单位或采购文件约定的合同甲方）</w:t>
      </w:r>
    </w:p>
    <w:p w14:paraId="1A2BDCB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乙方1（全称）：___________________________（</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w:t>
      </w:r>
    </w:p>
    <w:p w14:paraId="491D093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乙方2（全称）：___________________________（联合体成员</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或其他合同主体）（如有）</w:t>
      </w:r>
    </w:p>
    <w:p w14:paraId="17D50D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乙方3（全称）：___________________________（联合体成员</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或其他合同主体）（如有）</w:t>
      </w:r>
    </w:p>
    <w:p w14:paraId="1BF1EBB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53A32EE8">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1.项目信息</w:t>
      </w:r>
    </w:p>
    <w:p w14:paraId="5CFBBAC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(1)采购项目名称：___________________________</w:t>
      </w:r>
    </w:p>
    <w:p w14:paraId="21EB4EE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采购项目编号：____________________________</w:t>
      </w:r>
    </w:p>
    <w:p w14:paraId="60C14D6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(2)采购计划编号：___________________________</w:t>
      </w:r>
    </w:p>
    <w:p w14:paraId="7CD51F6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(3)项目内容：</w:t>
      </w:r>
    </w:p>
    <w:p w14:paraId="66C9A12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采购标的及数量（台/套/个/架/组等）：___________________</w:t>
      </w:r>
    </w:p>
    <w:p w14:paraId="1B40D47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品牌： ___________________ 规格型号：___________________</w:t>
      </w:r>
    </w:p>
    <w:p w14:paraId="6A0C0B1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采购标的的技术要求、商务要求具体见附件。</w:t>
      </w:r>
    </w:p>
    <w:p w14:paraId="1C30D79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①涉及信息类产品，请填写该产品关键部件的品牌、型号：</w:t>
      </w:r>
    </w:p>
    <w:p w14:paraId="39BAF83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标的名称： ___________________</w:t>
      </w:r>
    </w:p>
    <w:p w14:paraId="77F5734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关键部件： ___________________ 品牌：___________________ 型号： ___________________</w:t>
      </w:r>
    </w:p>
    <w:p w14:paraId="3EE4B27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关键部件： ___________________ 品牌：___________________ 型号： ___________________</w:t>
      </w:r>
    </w:p>
    <w:p w14:paraId="5997A12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关键部件： ___________________ 品牌：___________________ 型号： ___________________</w:t>
      </w:r>
    </w:p>
    <w:p w14:paraId="77C040B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（注：关键部件是指财政部会同有关部门发布的政府采购需求标准规定的需要通过国家有关部门指定的测评机构开展的安全可靠测评的软硬件，如CPU芯片、操作系统、数据库等。）</w:t>
      </w:r>
    </w:p>
    <w:p w14:paraId="46B5090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②涉及车辆采购，请填写是否属于新能源汽车：</w:t>
      </w:r>
    </w:p>
    <w:p w14:paraId="090B85F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是，《政府采购品目分类目录》底级品目名称：__________  数量：__________  金额：__________</w:t>
      </w:r>
    </w:p>
    <w:p w14:paraId="3DCAC2EE">
      <w:pPr>
        <w:pStyle w:val="7"/>
        <w:spacing w:line="30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否</w:t>
      </w:r>
    </w:p>
    <w:p w14:paraId="7D7DF07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(4)政府采购组织形式：政府集中采购 部门集中采购 分散采购</w:t>
      </w:r>
    </w:p>
    <w:p w14:paraId="53DF0A2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(5)政府采购方式：公开招标 邀请招标 竞争性谈判 竞争性磋商询价 单一来源 框架协议 其他：____________________</w:t>
      </w:r>
    </w:p>
    <w:p w14:paraId="2A4DA6C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(6)中标（成交）采购标的制造商是否为中小企业：是否</w:t>
      </w:r>
    </w:p>
    <w:p w14:paraId="65B01EE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本合同是否为专门面向中小企业的采购合同（中小企业预留合同）：是否</w:t>
      </w:r>
    </w:p>
    <w:p w14:paraId="176BCC3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若本项目不专门面向中小企业采购，是否给予小微企业评审优惠：是否</w:t>
      </w:r>
    </w:p>
    <w:p w14:paraId="377D479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中标（成交）采购标的制造商是否为残疾人福利性单位：是否</w:t>
      </w:r>
    </w:p>
    <w:p w14:paraId="3656029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中标（成交）采购标的制造商是否为监狱企业：是否</w:t>
      </w:r>
    </w:p>
    <w:p w14:paraId="294C8D8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(7)合同是否分包：是否</w:t>
      </w:r>
    </w:p>
    <w:p w14:paraId="7950E39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分包主要内容：________________________________________</w:t>
      </w:r>
    </w:p>
    <w:p w14:paraId="62932D5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分包</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/制造商名称（如</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和制造商不同，请分别填写）：</w:t>
      </w:r>
    </w:p>
    <w:p w14:paraId="47643AA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________________________________________</w:t>
      </w:r>
    </w:p>
    <w:p w14:paraId="1F84D70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分包</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/制造商类型（如果</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和制造商不同，只填写制造商类型）：</w:t>
      </w:r>
    </w:p>
    <w:p w14:paraId="46E07A3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大型企业中型企业小微型企业</w:t>
      </w:r>
    </w:p>
    <w:p w14:paraId="5F430CB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残疾人福利性单位监狱企业其他</w:t>
      </w:r>
    </w:p>
    <w:p w14:paraId="74C9AEE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(8)中标（成交）</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是否为外商投资企业：是否</w:t>
      </w:r>
    </w:p>
    <w:p w14:paraId="2386F1C0">
      <w:pPr>
        <w:pStyle w:val="7"/>
        <w:spacing w:line="300" w:lineRule="auto"/>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外商投资企业类型：全部由外国投资者投资部分由外国投资者投资</w:t>
      </w:r>
    </w:p>
    <w:p w14:paraId="4071E8F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（9）是否涉及进口产品：</w:t>
      </w:r>
    </w:p>
    <w:p w14:paraId="0CF5F49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是，《政府采购品目分类目录》底级品目名称：__________  金额：__________</w:t>
      </w:r>
    </w:p>
    <w:p w14:paraId="50576A11">
      <w:pPr>
        <w:pStyle w:val="7"/>
        <w:spacing w:line="300" w:lineRule="auto"/>
        <w:ind w:firstLine="12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国别：__________  品牌：__________  规格型号__________</w:t>
      </w:r>
    </w:p>
    <w:p w14:paraId="27070B61">
      <w:pPr>
        <w:pStyle w:val="7"/>
        <w:spacing w:line="300" w:lineRule="auto"/>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否</w:t>
      </w:r>
    </w:p>
    <w:p w14:paraId="034D98D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（10）是否涉及节能产品：</w:t>
      </w:r>
    </w:p>
    <w:p w14:paraId="2ABE2D1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是，《节能产品政府采购品目清单》的底级品目名称：__________</w:t>
      </w:r>
    </w:p>
    <w:p w14:paraId="008F3E4C">
      <w:pPr>
        <w:pStyle w:val="7"/>
        <w:spacing w:line="300" w:lineRule="auto"/>
        <w:ind w:firstLine="12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强制采购         优先采购</w:t>
      </w:r>
    </w:p>
    <w:p w14:paraId="3C6CF80C">
      <w:pPr>
        <w:pStyle w:val="7"/>
        <w:spacing w:line="300" w:lineRule="auto"/>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否</w:t>
      </w:r>
    </w:p>
    <w:p w14:paraId="1F886FA1">
      <w:pPr>
        <w:pStyle w:val="7"/>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是否涉及环境标志产品：</w:t>
      </w:r>
    </w:p>
    <w:p w14:paraId="742051F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是，《环境标志产品政府采购品目清单》的底级品目名称：__________</w:t>
      </w:r>
    </w:p>
    <w:p w14:paraId="695CAA9E">
      <w:pPr>
        <w:pStyle w:val="7"/>
        <w:spacing w:line="300" w:lineRule="auto"/>
        <w:ind w:firstLine="12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强制采购         优先采购</w:t>
      </w:r>
    </w:p>
    <w:p w14:paraId="0788F9BC">
      <w:pPr>
        <w:pStyle w:val="7"/>
        <w:spacing w:line="300" w:lineRule="auto"/>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否</w:t>
      </w:r>
    </w:p>
    <w:p w14:paraId="184B07BE">
      <w:pPr>
        <w:pStyle w:val="7"/>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是否涉及绿色产品：</w:t>
      </w:r>
    </w:p>
    <w:p w14:paraId="203C05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是，绿色产品政府采购相关政策确定的底级品目名称：__________</w:t>
      </w:r>
    </w:p>
    <w:p w14:paraId="726BAEE7">
      <w:pPr>
        <w:pStyle w:val="7"/>
        <w:spacing w:line="300" w:lineRule="auto"/>
        <w:ind w:firstLine="12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强制采购         优先采购</w:t>
      </w:r>
    </w:p>
    <w:p w14:paraId="6EEEC40D">
      <w:pPr>
        <w:pStyle w:val="7"/>
        <w:spacing w:line="300" w:lineRule="auto"/>
        <w:ind w:firstLine="84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否</w:t>
      </w:r>
    </w:p>
    <w:p w14:paraId="6B20102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(11)涉及商品包装和快递包装的，是否参考《商品包装政府采购需求标准（试行）》、《快递包装政府采购需求标准（试行）》明确产品及相关快递服务的具体包装要求：</w:t>
      </w:r>
    </w:p>
    <w:p w14:paraId="7592449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         否        不涉及</w:t>
      </w:r>
    </w:p>
    <w:p w14:paraId="33F52B2E">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2.合同金额</w:t>
      </w:r>
    </w:p>
    <w:p w14:paraId="01731C4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（1）合同金额小写：____________________</w:t>
      </w:r>
    </w:p>
    <w:p w14:paraId="01C7EA3C">
      <w:pPr>
        <w:pStyle w:val="7"/>
        <w:ind w:firstLine="19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大写：____________________</w:t>
      </w:r>
    </w:p>
    <w:p w14:paraId="799CF7C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分包金额（如有）小写：____________________</w:t>
      </w:r>
    </w:p>
    <w:p w14:paraId="032D0ED5">
      <w:pPr>
        <w:pStyle w:val="7"/>
        <w:ind w:firstLine="282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大写：____________________</w:t>
      </w:r>
    </w:p>
    <w:p w14:paraId="7768824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（注：固定单价合同应填写单价和最高限价）</w:t>
      </w:r>
    </w:p>
    <w:p w14:paraId="12D4034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（2）合同定价方式（采用组合定价方式的，可以勾选多项）：</w:t>
      </w:r>
    </w:p>
    <w:p w14:paraId="23970D1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固定总价固定单价成本补偿绩效激励其他__________</w:t>
      </w:r>
    </w:p>
    <w:p w14:paraId="7012EB1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（3）付款方式（按项目实际勾选填写）：</w:t>
      </w:r>
    </w:p>
    <w:p w14:paraId="147517C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全额付款：_______（应明确一次性支付合同款项的条件）_____________</w:t>
      </w:r>
    </w:p>
    <w:p w14:paraId="453FB3B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分期付款：_______（应明确分期支付合同款项的各期比例和支付条件，各期支付条件应与分期履约验收情况挂钩）_____________，其中涉及预付款的：_______ （应明确预付款的支付比例和支付条件）</w:t>
      </w:r>
    </w:p>
    <w:p w14:paraId="748A40E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成本补偿：_______（应明确按照成本补偿方式的支付方式和支付条件）___________</w:t>
      </w:r>
    </w:p>
    <w:p w14:paraId="644578A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绩效激励：_______（应明确按照绩效激励方式的支付方式和支付条件）_________</w:t>
      </w:r>
    </w:p>
    <w:p w14:paraId="7AD2E88D">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3.合同履行</w:t>
      </w:r>
    </w:p>
    <w:p w14:paraId="7B7D9B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（1）起始日期：____________________年____________________月 ____________________日 ，完成日期：____________________年____________________月____________________日。</w:t>
      </w:r>
    </w:p>
    <w:p w14:paraId="4AD5EA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（2）履约地点：____________________</w:t>
      </w:r>
    </w:p>
    <w:p w14:paraId="71C495A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（3）履约担保：</w:t>
      </w:r>
    </w:p>
    <w:p w14:paraId="56DD970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是否收取履约保证金：是 否</w:t>
      </w:r>
    </w:p>
    <w:p w14:paraId="6C7B078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收取履约保证金形式：____________________</w:t>
      </w:r>
    </w:p>
    <w:p w14:paraId="1C5FCF3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收取履约保证金金额：____________________</w:t>
      </w:r>
    </w:p>
    <w:p w14:paraId="647A79C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履约担保期限：____________________</w:t>
      </w:r>
    </w:p>
    <w:p w14:paraId="72D4EF1F">
      <w:pPr>
        <w:pStyle w:val="7"/>
        <w:ind w:firstLine="51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履约担保期限：____________________</w:t>
      </w:r>
    </w:p>
    <w:p w14:paraId="1F0A15C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（4）分期履行要求：____________________</w:t>
      </w:r>
    </w:p>
    <w:p w14:paraId="10E04BB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（5）风险处置措施和替代方案：____________________</w:t>
      </w:r>
    </w:p>
    <w:p w14:paraId="6B86371A">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4.合同验收</w:t>
      </w:r>
    </w:p>
    <w:p w14:paraId="7B272DD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（1）验收组织方式：自行验收委托第三方验收</w:t>
      </w:r>
    </w:p>
    <w:p w14:paraId="4322B8D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验收主体：____________________</w:t>
      </w:r>
    </w:p>
    <w:p w14:paraId="781C22B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是否邀请本项目的其他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参加验收：是否</w:t>
      </w:r>
    </w:p>
    <w:p w14:paraId="5C2159F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是否邀请专家参加验收：是否</w:t>
      </w:r>
    </w:p>
    <w:p w14:paraId="70B76EE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是否邀请服务对象参加验收：是否</w:t>
      </w:r>
    </w:p>
    <w:p w14:paraId="68CE99F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是否邀请第三方检测机构参加验收：是否</w:t>
      </w:r>
    </w:p>
    <w:p w14:paraId="3ACF43D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是否进行抽查检测： 是，抽查比例：__________%否</w:t>
      </w:r>
    </w:p>
    <w:p w14:paraId="1D3B3BA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是否存在破坏性检测： 是，__________否</w:t>
      </w:r>
    </w:p>
    <w:p w14:paraId="5717499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验收组织的其他事项：____________________</w:t>
      </w:r>
    </w:p>
    <w:p w14:paraId="2652911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（2）履约验收时间：计划于何时验收/</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提出验收申请之日起_______日内组织验收</w:t>
      </w:r>
    </w:p>
    <w:p w14:paraId="3229676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（3）履约验收方式：一次性验收分期/分项验收：__________</w:t>
      </w:r>
    </w:p>
    <w:p w14:paraId="1019957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（4）履约验收程序：____________________</w:t>
      </w:r>
    </w:p>
    <w:p w14:paraId="7484B9E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（5）履约验收的内容：_________（应当包括每一项技术和商务要求的履约情况，特别是落实政府采购扶持中小企业，支持绿色发展和乡村振兴等政策情况）___________</w:t>
      </w:r>
    </w:p>
    <w:p w14:paraId="44AD1A8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（6）履约验收标准：_____________________________</w:t>
      </w:r>
    </w:p>
    <w:p w14:paraId="40F604C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（7）是否以采购活动中</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提供的样品作为参考：是否</w:t>
      </w:r>
    </w:p>
    <w:p w14:paraId="10031EB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（8）履约验收其他事项：_______________</w:t>
      </w:r>
    </w:p>
    <w:p w14:paraId="6212718E">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5.组成合同的文件</w:t>
      </w:r>
    </w:p>
    <w:p w14:paraId="451067C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本协议书与下列文件一起构成合同文件，如下述文件之间有任何抵触、矛盾或歧义，应按以下顺序解释：</w:t>
      </w:r>
    </w:p>
    <w:p w14:paraId="0367AEC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（1）政府采购合同协议书及其变更、补充协议</w:t>
      </w:r>
    </w:p>
    <w:p w14:paraId="266F1F8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（2）政府采购合同专用条款</w:t>
      </w:r>
    </w:p>
    <w:p w14:paraId="2CDA349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（3）政府采购合同通用条款</w:t>
      </w:r>
    </w:p>
    <w:p w14:paraId="45B7A22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（4）中标（成交）通知书</w:t>
      </w:r>
    </w:p>
    <w:p w14:paraId="05377D3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（5）投标（响应）文件</w:t>
      </w:r>
    </w:p>
    <w:p w14:paraId="2CFCE08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（6）采购文件</w:t>
      </w:r>
    </w:p>
    <w:p w14:paraId="442120F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（7）有关技术文件，图纸</w:t>
      </w:r>
    </w:p>
    <w:p w14:paraId="38CA441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（8）国家法律、行政法规和规章制度规定或合同约定的作为合同组成部分的其他文件</w:t>
      </w:r>
    </w:p>
    <w:p w14:paraId="66680590">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6.合同生效</w:t>
      </w:r>
    </w:p>
    <w:p w14:paraId="7270E92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本合同自____________________生效。</w:t>
      </w:r>
    </w:p>
    <w:p w14:paraId="1615084E">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7.合同份数</w:t>
      </w:r>
    </w:p>
    <w:p w14:paraId="323919C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 _______ 份，甲方执 _______ 份，乙方执 _______ 份，均具有同等法律效力。</w:t>
      </w:r>
    </w:p>
    <w:p w14:paraId="545BBC6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合同订立时间：详见本合同封面的签订时间。</w:t>
      </w:r>
    </w:p>
    <w:p w14:paraId="6F10047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合同订立地点： ____________________________</w:t>
      </w:r>
    </w:p>
    <w:p w14:paraId="6BD377F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附件：具体标的及其技术要求和商务要求、联合协议、分包意向协议等。</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textWrapping"/>
      </w:r>
    </w:p>
    <w:p w14:paraId="709C536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甲方（采购人、受采购人委托签订合同的单位或采购文件约定的合同甲方）</w:t>
      </w:r>
    </w:p>
    <w:p w14:paraId="2FACA61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单位名称（公章或合同章）： {{未填写}}（盖章）</w:t>
      </w:r>
    </w:p>
    <w:p w14:paraId="3B5FFEB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法定代表人或其委托代理人（签章）：{{未填写}}</w:t>
      </w:r>
    </w:p>
    <w:p w14:paraId="5E03560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住 所：{{未填写}}</w:t>
      </w:r>
    </w:p>
    <w:p w14:paraId="19EEDE6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联 系 人：{{未填写}}</w:t>
      </w:r>
    </w:p>
    <w:p w14:paraId="6410E1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联系电话：{{未填写}}</w:t>
      </w:r>
    </w:p>
    <w:p w14:paraId="2775ABC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通信地址：{{未填写}}</w:t>
      </w:r>
    </w:p>
    <w:p w14:paraId="75DD20C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邮政编码：{{未填写}}</w:t>
      </w:r>
    </w:p>
    <w:p w14:paraId="6470351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电子邮箱：{{未填写}}</w:t>
      </w:r>
    </w:p>
    <w:p w14:paraId="0E3321F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统一社会信用代码：{{未填写}}</w:t>
      </w:r>
    </w:p>
    <w:p w14:paraId="2931079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04438C39">
      <w:pPr>
        <w:pStyle w:val="7"/>
        <w:jc w:val="center"/>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第二节 政府采购合同通用条款</w:t>
      </w:r>
    </w:p>
    <w:p w14:paraId="548CE6F0">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 定义</w:t>
      </w:r>
    </w:p>
    <w:p w14:paraId="53F2126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1.1合同当事人</w:t>
      </w:r>
    </w:p>
    <w:p w14:paraId="708CB4D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（1）采购人（以下称甲方）是指使用财政性资金，通过政府采购方式向</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购买货物及其相关服务的国家机关、事业单位、团体组织。</w:t>
      </w:r>
    </w:p>
    <w:p w14:paraId="023D424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（以下称乙方）是指参加政府采购活动并且中标（成交），向采购人提供合同约定的货物及其相关服务的法人、非法人组织或者自然人。</w:t>
      </w:r>
    </w:p>
    <w:p w14:paraId="0775547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（3）其他合同主体是指除采购人和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以外，依法参与合同缔结或履行，享有权利、承担义务的合同当事人。</w:t>
      </w:r>
    </w:p>
    <w:p w14:paraId="0FD8E2C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1.2本合同下列术语应解释为：</w:t>
      </w:r>
    </w:p>
    <w:p w14:paraId="5927967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C7AE96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（2）“合同价款”系指根据本合同规定乙方在全面履行合同义务后甲方应支付给乙方的价款。</w:t>
      </w:r>
    </w:p>
    <w:p w14:paraId="56329B6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（3）“货物”系指乙方根据本合同规定须向甲方提供的各种形态和种类的物品，包括原材料、设备、产品（包括软件）及相关的其备品备件、工具、手册及其他技术资料和材料等。</w:t>
      </w:r>
    </w:p>
    <w:p w14:paraId="1CCCC8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1A4F870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（5）“分包”系指中标（成交）</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按采购文件、投标（响应）文件的规定，根据分包意向协议，将中标（成交）项目中的部分履约内容，分给具有相应资质条件的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履行合同的行为。</w:t>
      </w:r>
    </w:p>
    <w:p w14:paraId="06140EB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（6）“联合体”系指由两个以上的自然人、法人或者非法人组织组成，以一个</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w:t>
      </w:r>
    </w:p>
    <w:p w14:paraId="71BE251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（7）其他术语解释，见</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w:t>
      </w:r>
    </w:p>
    <w:p w14:paraId="74154FDB">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2.合同标的及金额</w:t>
      </w:r>
    </w:p>
    <w:p w14:paraId="5FFA5CE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 合同标的及金额应与中标（成交）结果一致。乙方为履行本合同而发生的所有费用均应包含在合同价款中，甲方不再另行支付其他任何费用。</w:t>
      </w:r>
    </w:p>
    <w:p w14:paraId="0A03D5FE">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3. 履行合同的时间、地点和方式</w:t>
      </w:r>
    </w:p>
    <w:p w14:paraId="5E303CD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 乙方应当在约定的时间、地点，按照约定方式履行合同。</w:t>
      </w:r>
    </w:p>
    <w:p w14:paraId="451933FD">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4. 甲方的权利和义务</w:t>
      </w:r>
    </w:p>
    <w:p w14:paraId="4DB5071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5AF3EB0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4.2 甲方有权要求乙方按时提交各阶段有关安排计划，并有权定期核对乙方提供货物数量、规格、质量等内容。甲方有权督促乙方工作并要求乙方更换不符合要求的货物。</w:t>
      </w:r>
    </w:p>
    <w:p w14:paraId="3F07BEB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4.3 甲方有权要求乙方对缺陷部分予以修复，并按合同约定享有货物保修及其他合同约定的权利。</w:t>
      </w:r>
    </w:p>
    <w:p w14:paraId="4DDA070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4.4 甲方应当按照合同约定及时对交付的货物进行验收，未在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约定的期限内对乙方履约提出任何异议或者向乙方作出任何说明的，视为验收通过。</w:t>
      </w:r>
    </w:p>
    <w:p w14:paraId="1D1AED2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4.5 甲方应当根据合同约定及时向乙方支付合同价款，不得以内部人员变更、履行内部付款流程等为由，拒绝或迟延支付。</w:t>
      </w:r>
    </w:p>
    <w:p w14:paraId="098E509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4.6 国家法律法规规定及</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约定应由甲方承担的其他义务和责任。</w:t>
      </w:r>
    </w:p>
    <w:p w14:paraId="42080CC8">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5. 乙方的权利和义务</w:t>
      </w:r>
    </w:p>
    <w:p w14:paraId="7ED52AE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5.1 签署合同后，乙方应确定项目负责人（或项目联系人），负责与本合同有关的事务。</w:t>
      </w:r>
    </w:p>
    <w:p w14:paraId="46E010F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9FA07C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5.3乙方有权根据合同约定向甲方收取合同价款。</w:t>
      </w:r>
    </w:p>
    <w:p w14:paraId="1B40486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5.4国家法律法规规定及</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约定应由乙方承担的其他义务和责任。</w:t>
      </w:r>
    </w:p>
    <w:p w14:paraId="07D66B92">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6.合同履行</w:t>
      </w:r>
    </w:p>
    <w:p w14:paraId="2E7D5F3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6.1 甲乙双方应当按照</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约定顺序履行合同义务；如果没有先后顺序的，应当同时履行。</w:t>
      </w:r>
    </w:p>
    <w:p w14:paraId="55356EC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6.2 甲乙双方按照合同约定顺序履行合同义务时，应当先履行一方未履行的，后履行一方有权拒绝其履行请求。先履行一方履行不符合约定的，后履行一方有权拒绝其相应的履行请求。</w:t>
      </w:r>
    </w:p>
    <w:p w14:paraId="56767AD2">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7. 货物包装、运输、保险和交付要求</w:t>
      </w:r>
    </w:p>
    <w:p w14:paraId="51042A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7.1 本合同涉及商品包装、快递包装的，除</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另有约定外，包装应适应远距离运输、防潮、防震、防锈和防野蛮装卸等要求，确保货物安全无损地运抵</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约定的指定现场。</w:t>
      </w:r>
    </w:p>
    <w:p w14:paraId="376F942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7.2 除</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另有约定外，乙方负责办理将货物运抵本合同规定的交货地点，并装卸、交付至甲方的一切运输事项，相关费用应包含在合同价款中。</w:t>
      </w:r>
    </w:p>
    <w:p w14:paraId="6760CB3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7.3 货物保险要求按</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规定执行。</w:t>
      </w:r>
    </w:p>
    <w:p w14:paraId="3000BC2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507E90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7.5 乙方在运输到达之前应提前通知甲方，并提示货物运输装卸的注意事项，甲方配合乙方做好货物的接收工作。</w:t>
      </w:r>
    </w:p>
    <w:p w14:paraId="7A52DB5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7.6 如因包装、运输问题导致货物损毁、丢失或者品质下降，甲方有权要求降价、换货、拒收部分或整批货物，由此产生的费用和损失，均由乙方承担。</w:t>
      </w:r>
    </w:p>
    <w:p w14:paraId="54637553">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8. 质量标准和保证</w:t>
      </w:r>
    </w:p>
    <w:p w14:paraId="1214525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8.1 质量标准</w:t>
      </w:r>
    </w:p>
    <w:p w14:paraId="7797CA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22E4F9D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（2）采用中华人民共和国法定计量单位。</w:t>
      </w:r>
    </w:p>
    <w:p w14:paraId="3E15400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（3）乙方所提供的货物应符合国家有关安全、环保、卫生的规定。</w:t>
      </w:r>
    </w:p>
    <w:p w14:paraId="3D7029C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（4）乙方应向甲方提交所提供货物的技术文件，包括相应的中文技术文件，如：产品目录、图纸、操作手册、使用说明、维护手册或服务指南等。上述文件应包装好随货物一同发运。</w:t>
      </w:r>
    </w:p>
    <w:p w14:paraId="676574D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8.2 保证</w:t>
      </w:r>
    </w:p>
    <w:p w14:paraId="57E0CB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699E913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（2）在质量保证期内所发现的缺陷，甲方应尽快以书面形式通知乙方。</w:t>
      </w:r>
    </w:p>
    <w:p w14:paraId="6DD3F8A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（3）乙方收到通知后，应在【政府采购合同专用条款】规定的响应时间内以合理的速度免费维修或更换有缺陷的货物或部件。</w:t>
      </w:r>
    </w:p>
    <w:p w14:paraId="1F2056D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3B30768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（5）乙方在约定的时间内未能弥补缺陷，甲方可采取必要的补救措施，但其风险和费用将由乙方承担，甲方根据合同约定对乙方行使的其他权利不受影响。</w:t>
      </w:r>
    </w:p>
    <w:p w14:paraId="5F201479">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9. 权利瑕疵担保</w:t>
      </w:r>
    </w:p>
    <w:p w14:paraId="67DB9FE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9.1 乙方保证对其出售的货物享有合法的权利。</w:t>
      </w:r>
    </w:p>
    <w:p w14:paraId="0F82982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9.2 乙方保证在交付的货物上不存在抵押权等担保物权。</w:t>
      </w:r>
    </w:p>
    <w:p w14:paraId="503E738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9.3 如甲方使用上述货物构成对第三人侵权的，则由乙方承担全部责任。</w:t>
      </w:r>
    </w:p>
    <w:p w14:paraId="33B7E58B">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10. 知识产权保护</w:t>
      </w:r>
    </w:p>
    <w:p w14:paraId="26E4620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2DE2CB6D">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11. 保密义务</w:t>
      </w:r>
    </w:p>
    <w:p w14:paraId="23F9B6F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中约定。</w:t>
      </w:r>
    </w:p>
    <w:p w14:paraId="39A58096">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12. 合同价款支付</w:t>
      </w:r>
    </w:p>
    <w:p w14:paraId="0A5DD01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12.1 合同价款支付按照国库集中支付制度及财政管理相关规定执行。</w:t>
      </w:r>
    </w:p>
    <w:p w14:paraId="6BE101F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中约定。</w:t>
      </w:r>
    </w:p>
    <w:p w14:paraId="0D8D2118">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13. 履约保证金</w:t>
      </w:r>
    </w:p>
    <w:p w14:paraId="6D9B654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13.1 乙方应当以支票、汇票、本票或者金融机构、担保机构出具的保函等非现金形式提交。</w:t>
      </w:r>
    </w:p>
    <w:p w14:paraId="4C10184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13.2 如果乙方出现</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0745656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13.3 甲方在项目通过验收后按照</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规定的时间内将履约保证金退还乙方；逾期退还的，乙方可要求甲方支付违约金，违约金按照</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规定支付。</w:t>
      </w:r>
    </w:p>
    <w:p w14:paraId="03EF033B">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14. 售后服务</w:t>
      </w:r>
    </w:p>
    <w:p w14:paraId="5602BFA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14.1 除项目不涉及或采购活动中明确约定无须承担外，乙方还应提供下列服务：</w:t>
      </w:r>
    </w:p>
    <w:p w14:paraId="1AEF30D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（1）货物的现场移动、安装、调试、启动监督及技术支持；</w:t>
      </w:r>
    </w:p>
    <w:p w14:paraId="240FE3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（2）提供货物组装和维修所需的专用工具和辅助材料；</w:t>
      </w:r>
    </w:p>
    <w:p w14:paraId="1B90B95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约定的期限内对所有的货物实施运行监督、维修，但前提条件是该服务并不能免除乙方在质量保证期内所承担的义务；</w:t>
      </w:r>
    </w:p>
    <w:p w14:paraId="256F06C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（4）在制造商所在地或指定现场就货物的安装、启动、运营、维护、废弃处置等对甲方操作人员进行培训；</w:t>
      </w:r>
    </w:p>
    <w:p w14:paraId="14FAF0D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（5）依照法律、行政法规的规定或者按照</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约定，货物在有效使用年限届满后应予回收的，乙方负有自行或者委托第三人对货物予以回收的义务；</w:t>
      </w:r>
    </w:p>
    <w:p w14:paraId="4C160EB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规定由乙方提供的其他服务。</w:t>
      </w:r>
    </w:p>
    <w:p w14:paraId="54E2CF4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14.2 乙方提供的售后服务的费用已包含在合同价款中，甲方不再另行支付。</w:t>
      </w:r>
    </w:p>
    <w:p w14:paraId="5A35DB09">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15. 违约责任</w:t>
      </w:r>
    </w:p>
    <w:p w14:paraId="7869CA5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15.1质量瑕疵的违约责任</w:t>
      </w:r>
    </w:p>
    <w:p w14:paraId="5847345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乙方提供的产品不符合合同约定的质量标准或存在产品质量缺陷，甲方有权要求乙方根据</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要求及时修理、重作、更换，并承担由此给甲方造成的损失。</w:t>
      </w:r>
    </w:p>
    <w:p w14:paraId="0882269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15.2 迟延交货的违约责任</w:t>
      </w:r>
    </w:p>
    <w:p w14:paraId="74C3611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58AEE0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规定执行。如果涉及公共利益，且赔偿金额无法弥补公共利益损失，甲方可要求继续履行或者采取其他补救措施。</w:t>
      </w:r>
    </w:p>
    <w:p w14:paraId="486EFDC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15.3 迟延支付的违约责任</w:t>
      </w:r>
    </w:p>
    <w:p w14:paraId="10D9C55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甲方存在迟延支付乙方合同款项的，应当承担</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规定的逾期付款利息。</w:t>
      </w:r>
    </w:p>
    <w:p w14:paraId="1C1AD76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15.4其他违约责任根据项目实际需要按</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规定执行。</w:t>
      </w:r>
    </w:p>
    <w:p w14:paraId="0110CEDE">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16.合同变更、中止与终止</w:t>
      </w:r>
    </w:p>
    <w:p w14:paraId="4940AF4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16.1合同的变更</w:t>
      </w:r>
    </w:p>
    <w:p w14:paraId="335050D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政府采购合同履行中，在不改变合同其他条款的前提下，甲方可以在合同价款10%的范围内追加与合同标的相同的货物，并就此与乙方协商一致后签订补充协议。</w:t>
      </w:r>
    </w:p>
    <w:p w14:paraId="76B336D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16.2合同的中止</w:t>
      </w:r>
    </w:p>
    <w:p w14:paraId="17C1DD6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（1）合同履行过程中因</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就采购文件、采购过程或结果提起投诉的，甲方认为有必要的，可以中止合同的履行。</w:t>
      </w:r>
    </w:p>
    <w:p w14:paraId="2C4EF75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491394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（3）乙方分立、合并或者变更住所的，应当及时以书面形式告知甲方。乙方没有及时告知甲方，致使合同履行发生困难的，甲方可以中止合同履行并要求乙方承担由此给甲方造成的损失。</w:t>
      </w:r>
    </w:p>
    <w:p w14:paraId="7B8DBFD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（4）甲方不得以行政区划调整、政府换届、机构或者职能调整以及相关责任人更替为由中止合同。</w:t>
      </w:r>
    </w:p>
    <w:p w14:paraId="6D20121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16.3合同的终止</w:t>
      </w:r>
    </w:p>
    <w:p w14:paraId="0BAA9C8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（1）合同因有效期限届满而终止；</w:t>
      </w:r>
    </w:p>
    <w:p w14:paraId="071DA51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（2）乙方未按合同约定履行，构成根本性违约的，甲方有权终止合同，并追究乙方的违约责任。</w:t>
      </w:r>
    </w:p>
    <w:p w14:paraId="082E98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16.4 涉及国家利益、社会公共利益的情形</w:t>
      </w:r>
    </w:p>
    <w:p w14:paraId="32CFDA8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6D9A97B9">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17. 合同分包</w:t>
      </w:r>
    </w:p>
    <w:p w14:paraId="7DD1D34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17.1 乙方不得将合同转包给其他</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。涉及合同分包的，乙方应根据采购文件和投标（响应）文件规定进行合同分包。</w:t>
      </w:r>
    </w:p>
    <w:p w14:paraId="11BD219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17.2 乙方执行政府采购政策向中小企业依法分包的，乙方应当按采购文件和投标（响应）文件签订分包意向协议，分包意向协议属于本合同组成部分。</w:t>
      </w:r>
    </w:p>
    <w:p w14:paraId="5D2E57C5">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18. 不可抗力</w:t>
      </w:r>
    </w:p>
    <w:p w14:paraId="641F6E7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18.1 不可抗力是指合同双方不能预见、不能避免且不能克服的客观情况。</w:t>
      </w:r>
    </w:p>
    <w:p w14:paraId="591E67B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18.2 任何一方对由于不可抗力造成的部分或全部不能履行合同不承担违约责任。但迟延履行后发生不可抗力的，不能免除责任。</w:t>
      </w:r>
    </w:p>
    <w:p w14:paraId="041B40F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2D0B79AC">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19. 解决争议的方法</w:t>
      </w:r>
    </w:p>
    <w:p w14:paraId="5E43F48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0B3BBCD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19.2 选择仲裁的，应在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中明确仲裁机构及仲裁地；通过诉讼方式解决的，可以在</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中进一步约定选择与争议有实际联系的地点的人民法院管辖，但管辖法院的约定不得违反级别管辖和专属管辖的规定。</w:t>
      </w:r>
    </w:p>
    <w:p w14:paraId="4E508C3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19.3 如甲乙双方有争议的事项不影响合同其他部分的履行，在争议解决期间，合同其他部分应当继续履行。</w:t>
      </w:r>
    </w:p>
    <w:p w14:paraId="7A482A97">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20. 政府采购政策</w:t>
      </w:r>
    </w:p>
    <w:p w14:paraId="40E5FBD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20.1 本合同应当按照规定执行政府采购政策。</w:t>
      </w:r>
    </w:p>
    <w:p w14:paraId="151092F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1E00B70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60E6123">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21. 法律适用</w:t>
      </w:r>
    </w:p>
    <w:p w14:paraId="7DB7411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21.1 本合同的订立、生效、解释、履行及与本合同有关的争议解决，均适用法律、行政法规。</w:t>
      </w:r>
    </w:p>
    <w:p w14:paraId="2B16973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21.2 本合同条款与法律、行政法规的强制性规定不一致的，双方当事人应按照法律、行政法规的强制性规定修改本合同的相关条款。</w:t>
      </w:r>
    </w:p>
    <w:p w14:paraId="4E6953AA">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22. 通知</w:t>
      </w:r>
    </w:p>
    <w:p w14:paraId="51FE8A4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22.1 本合同任何一方向对方发出的通知、信件、数据电文等，应当发送至本合同第一部分《政府采购合同协议书》所约定的通讯地址、联系人、联系电话或电子邮箱。</w:t>
      </w:r>
    </w:p>
    <w:p w14:paraId="4D05EDD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22.2 一方当事人变更名称、住所、联系人、联系电话或电子邮箱等信息的，应当在变更后3日内及时书面通知对方，对方实际收到变更通知前的送达仍为有效送达。</w:t>
      </w:r>
    </w:p>
    <w:p w14:paraId="0019006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22.3本合同一方给另一方的通知均应采用书面形式，传真或快递送到本合同中规定的对方的地址和办理签收手续。</w:t>
      </w:r>
    </w:p>
    <w:p w14:paraId="0F9FEC5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22.4通知以送达之日或通知书中规定的生效之日起生效，两者中以较迟之日为准。</w:t>
      </w:r>
    </w:p>
    <w:p w14:paraId="7DC4184A">
      <w:pPr>
        <w:pStyle w:val="7"/>
        <w:jc w:val="left"/>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23.合同未尽事项</w:t>
      </w:r>
    </w:p>
    <w:p w14:paraId="005C80A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23.1合同未尽事项见</w:t>
      </w:r>
      <w:r>
        <w:rPr>
          <w:rFonts w:hint="eastAsia" w:ascii="仿宋" w:hAnsi="仿宋" w:eastAsia="仿宋" w:cs="仿宋"/>
          <w:b/>
          <w:sz w:val="24"/>
          <w:szCs w:val="24"/>
          <w:highlight w:val="none"/>
        </w:rPr>
        <w:t>【政府采购合同专用条款】</w:t>
      </w:r>
      <w:r>
        <w:rPr>
          <w:rFonts w:hint="eastAsia" w:ascii="仿宋" w:hAnsi="仿宋" w:eastAsia="仿宋" w:cs="仿宋"/>
          <w:sz w:val="24"/>
          <w:szCs w:val="24"/>
          <w:highlight w:val="none"/>
        </w:rPr>
        <w:t>。</w:t>
      </w:r>
    </w:p>
    <w:p w14:paraId="4EB12E0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23.2 合同附件与合同正文具有同等的法律效力。</w:t>
      </w:r>
    </w:p>
    <w:p w14:paraId="7D83E981">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第三节 政府采购合同专用条款</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4A49AF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A3DA44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第1.2（6）项</w:t>
            </w:r>
          </w:p>
        </w:tc>
        <w:tc>
          <w:tcPr>
            <w:tcW w:w="2769" w:type="dxa"/>
          </w:tcPr>
          <w:p w14:paraId="436C8CD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联合体具体要求</w:t>
            </w:r>
          </w:p>
        </w:tc>
        <w:tc>
          <w:tcPr>
            <w:tcW w:w="2769" w:type="dxa"/>
          </w:tcPr>
          <w:p w14:paraId="64A685DF">
            <w:pPr>
              <w:pStyle w:val="7"/>
              <w:jc w:val="left"/>
              <w:rPr>
                <w:rFonts w:hint="eastAsia" w:ascii="仿宋" w:hAnsi="仿宋" w:eastAsia="仿宋" w:cs="仿宋"/>
                <w:sz w:val="24"/>
                <w:szCs w:val="24"/>
                <w:highlight w:val="none"/>
              </w:rPr>
            </w:pPr>
          </w:p>
        </w:tc>
      </w:tr>
      <w:tr w14:paraId="6EAFF2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61E352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第1.2（7）项</w:t>
            </w:r>
          </w:p>
        </w:tc>
        <w:tc>
          <w:tcPr>
            <w:tcW w:w="2769" w:type="dxa"/>
          </w:tcPr>
          <w:p w14:paraId="5B75846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其他术语解释</w:t>
            </w:r>
          </w:p>
        </w:tc>
        <w:tc>
          <w:tcPr>
            <w:tcW w:w="2769" w:type="dxa"/>
          </w:tcPr>
          <w:p w14:paraId="790FF436">
            <w:pPr>
              <w:pStyle w:val="7"/>
              <w:jc w:val="left"/>
              <w:rPr>
                <w:rFonts w:hint="eastAsia" w:ascii="仿宋" w:hAnsi="仿宋" w:eastAsia="仿宋" w:cs="仿宋"/>
                <w:sz w:val="24"/>
                <w:szCs w:val="24"/>
                <w:highlight w:val="none"/>
              </w:rPr>
            </w:pPr>
          </w:p>
        </w:tc>
      </w:tr>
      <w:tr w14:paraId="5E113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1A2BD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第4.4款</w:t>
            </w:r>
          </w:p>
        </w:tc>
        <w:tc>
          <w:tcPr>
            <w:tcW w:w="2769" w:type="dxa"/>
          </w:tcPr>
          <w:p w14:paraId="3EE117D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履约验收中甲方提出异议或作出说明的期限</w:t>
            </w:r>
          </w:p>
        </w:tc>
        <w:tc>
          <w:tcPr>
            <w:tcW w:w="2769" w:type="dxa"/>
          </w:tcPr>
          <w:p w14:paraId="49ADDC09">
            <w:pPr>
              <w:pStyle w:val="7"/>
              <w:jc w:val="left"/>
              <w:rPr>
                <w:rFonts w:hint="eastAsia" w:ascii="仿宋" w:hAnsi="仿宋" w:eastAsia="仿宋" w:cs="仿宋"/>
                <w:sz w:val="24"/>
                <w:szCs w:val="24"/>
                <w:highlight w:val="none"/>
              </w:rPr>
            </w:pPr>
          </w:p>
        </w:tc>
      </w:tr>
      <w:tr w14:paraId="4F8FD6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ECBB3C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第4.6款</w:t>
            </w:r>
          </w:p>
        </w:tc>
        <w:tc>
          <w:tcPr>
            <w:tcW w:w="2769" w:type="dxa"/>
          </w:tcPr>
          <w:p w14:paraId="037A623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约定甲方承担的其他义务和责任</w:t>
            </w:r>
          </w:p>
        </w:tc>
        <w:tc>
          <w:tcPr>
            <w:tcW w:w="2769" w:type="dxa"/>
          </w:tcPr>
          <w:p w14:paraId="12DDAD31">
            <w:pPr>
              <w:pStyle w:val="7"/>
              <w:jc w:val="left"/>
              <w:rPr>
                <w:rFonts w:hint="eastAsia" w:ascii="仿宋" w:hAnsi="仿宋" w:eastAsia="仿宋" w:cs="仿宋"/>
                <w:sz w:val="24"/>
                <w:szCs w:val="24"/>
                <w:highlight w:val="none"/>
              </w:rPr>
            </w:pPr>
          </w:p>
        </w:tc>
      </w:tr>
      <w:tr w14:paraId="17D5D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2C6AA3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第5.4款</w:t>
            </w:r>
          </w:p>
        </w:tc>
        <w:tc>
          <w:tcPr>
            <w:tcW w:w="2769" w:type="dxa"/>
          </w:tcPr>
          <w:p w14:paraId="4482052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约定乙方承担的其他义务和责任</w:t>
            </w:r>
          </w:p>
        </w:tc>
        <w:tc>
          <w:tcPr>
            <w:tcW w:w="2769" w:type="dxa"/>
          </w:tcPr>
          <w:p w14:paraId="432C46A2">
            <w:pPr>
              <w:pStyle w:val="7"/>
              <w:jc w:val="left"/>
              <w:rPr>
                <w:rFonts w:hint="eastAsia" w:ascii="仿宋" w:hAnsi="仿宋" w:eastAsia="仿宋" w:cs="仿宋"/>
                <w:sz w:val="24"/>
                <w:szCs w:val="24"/>
                <w:highlight w:val="none"/>
              </w:rPr>
            </w:pPr>
          </w:p>
        </w:tc>
      </w:tr>
      <w:tr w14:paraId="737828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8F4B02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第6.1款</w:t>
            </w:r>
          </w:p>
        </w:tc>
        <w:tc>
          <w:tcPr>
            <w:tcW w:w="2769" w:type="dxa"/>
          </w:tcPr>
          <w:p w14:paraId="3DF59F8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履行合同义务的顺序</w:t>
            </w:r>
          </w:p>
        </w:tc>
        <w:tc>
          <w:tcPr>
            <w:tcW w:w="2769" w:type="dxa"/>
          </w:tcPr>
          <w:p w14:paraId="28EB53A8">
            <w:pPr>
              <w:pStyle w:val="7"/>
              <w:jc w:val="left"/>
              <w:rPr>
                <w:rFonts w:hint="eastAsia" w:ascii="仿宋" w:hAnsi="仿宋" w:eastAsia="仿宋" w:cs="仿宋"/>
                <w:sz w:val="24"/>
                <w:szCs w:val="24"/>
                <w:highlight w:val="none"/>
              </w:rPr>
            </w:pPr>
          </w:p>
        </w:tc>
      </w:tr>
      <w:tr w14:paraId="034ED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restart"/>
          </w:tcPr>
          <w:p w14:paraId="098B74D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第7.1款</w:t>
            </w:r>
          </w:p>
        </w:tc>
        <w:tc>
          <w:tcPr>
            <w:tcW w:w="2769" w:type="dxa"/>
          </w:tcPr>
          <w:p w14:paraId="0F38B2E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包装特殊要求</w:t>
            </w:r>
          </w:p>
        </w:tc>
        <w:tc>
          <w:tcPr>
            <w:tcW w:w="2769" w:type="dxa"/>
          </w:tcPr>
          <w:p w14:paraId="5D4E2618">
            <w:pPr>
              <w:pStyle w:val="7"/>
              <w:jc w:val="left"/>
              <w:rPr>
                <w:rFonts w:hint="eastAsia" w:ascii="仿宋" w:hAnsi="仿宋" w:eastAsia="仿宋" w:cs="仿宋"/>
                <w:sz w:val="24"/>
                <w:szCs w:val="24"/>
                <w:highlight w:val="none"/>
              </w:rPr>
            </w:pPr>
          </w:p>
        </w:tc>
      </w:tr>
      <w:tr w14:paraId="5B53F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vMerge w:val="continue"/>
          </w:tcPr>
          <w:p w14:paraId="57DF6B53">
            <w:pPr>
              <w:rPr>
                <w:rFonts w:hint="eastAsia" w:ascii="仿宋" w:hAnsi="仿宋" w:eastAsia="仿宋" w:cs="仿宋"/>
                <w:sz w:val="24"/>
                <w:szCs w:val="24"/>
                <w:highlight w:val="none"/>
              </w:rPr>
            </w:pPr>
          </w:p>
        </w:tc>
        <w:tc>
          <w:tcPr>
            <w:tcW w:w="2769" w:type="dxa"/>
          </w:tcPr>
          <w:p w14:paraId="09ED854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指定现场</w:t>
            </w:r>
          </w:p>
        </w:tc>
        <w:tc>
          <w:tcPr>
            <w:tcW w:w="2769" w:type="dxa"/>
          </w:tcPr>
          <w:p w14:paraId="6C67D4E0">
            <w:pPr>
              <w:pStyle w:val="7"/>
              <w:jc w:val="left"/>
              <w:rPr>
                <w:rFonts w:hint="eastAsia" w:ascii="仿宋" w:hAnsi="仿宋" w:eastAsia="仿宋" w:cs="仿宋"/>
                <w:sz w:val="24"/>
                <w:szCs w:val="24"/>
                <w:highlight w:val="none"/>
              </w:rPr>
            </w:pPr>
          </w:p>
        </w:tc>
      </w:tr>
      <w:tr w14:paraId="6696F5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73716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第7.2款</w:t>
            </w:r>
          </w:p>
        </w:tc>
        <w:tc>
          <w:tcPr>
            <w:tcW w:w="2769" w:type="dxa"/>
          </w:tcPr>
          <w:p w14:paraId="26043D0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运输特殊要求</w:t>
            </w:r>
          </w:p>
        </w:tc>
        <w:tc>
          <w:tcPr>
            <w:tcW w:w="2769" w:type="dxa"/>
          </w:tcPr>
          <w:p w14:paraId="3327E561">
            <w:pPr>
              <w:pStyle w:val="7"/>
              <w:jc w:val="left"/>
              <w:rPr>
                <w:rFonts w:hint="eastAsia" w:ascii="仿宋" w:hAnsi="仿宋" w:eastAsia="仿宋" w:cs="仿宋"/>
                <w:sz w:val="24"/>
                <w:szCs w:val="24"/>
                <w:highlight w:val="none"/>
              </w:rPr>
            </w:pPr>
          </w:p>
        </w:tc>
      </w:tr>
      <w:tr w14:paraId="5FEBCD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09081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第7.3款</w:t>
            </w:r>
          </w:p>
        </w:tc>
        <w:tc>
          <w:tcPr>
            <w:tcW w:w="2769" w:type="dxa"/>
          </w:tcPr>
          <w:p w14:paraId="53A3025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保险要求</w:t>
            </w:r>
          </w:p>
        </w:tc>
        <w:tc>
          <w:tcPr>
            <w:tcW w:w="2769" w:type="dxa"/>
          </w:tcPr>
          <w:p w14:paraId="6E273C1C">
            <w:pPr>
              <w:pStyle w:val="7"/>
              <w:jc w:val="left"/>
              <w:rPr>
                <w:rFonts w:hint="eastAsia" w:ascii="仿宋" w:hAnsi="仿宋" w:eastAsia="仿宋" w:cs="仿宋"/>
                <w:sz w:val="24"/>
                <w:szCs w:val="24"/>
                <w:highlight w:val="none"/>
              </w:rPr>
            </w:pPr>
          </w:p>
        </w:tc>
      </w:tr>
      <w:tr w14:paraId="762DC1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5E395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第8.2（1）项</w:t>
            </w:r>
          </w:p>
        </w:tc>
        <w:tc>
          <w:tcPr>
            <w:tcW w:w="2769" w:type="dxa"/>
          </w:tcPr>
          <w:p w14:paraId="5FE4347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质量保证期</w:t>
            </w:r>
          </w:p>
        </w:tc>
        <w:tc>
          <w:tcPr>
            <w:tcW w:w="2769" w:type="dxa"/>
          </w:tcPr>
          <w:p w14:paraId="5EEC2956">
            <w:pPr>
              <w:rPr>
                <w:rFonts w:hint="eastAsia" w:ascii="仿宋" w:hAnsi="仿宋" w:eastAsia="仿宋" w:cs="仿宋"/>
                <w:sz w:val="24"/>
                <w:szCs w:val="24"/>
                <w:highlight w:val="none"/>
              </w:rPr>
            </w:pPr>
          </w:p>
        </w:tc>
      </w:tr>
      <w:tr w14:paraId="4E95B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FF658A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第8.2（3）项</w:t>
            </w:r>
          </w:p>
        </w:tc>
        <w:tc>
          <w:tcPr>
            <w:tcW w:w="2769" w:type="dxa"/>
          </w:tcPr>
          <w:p w14:paraId="5E374CB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货物质量缺陷响应时间</w:t>
            </w:r>
          </w:p>
        </w:tc>
        <w:tc>
          <w:tcPr>
            <w:tcW w:w="2769" w:type="dxa"/>
          </w:tcPr>
          <w:p w14:paraId="119CBC51">
            <w:pPr>
              <w:rPr>
                <w:rFonts w:hint="eastAsia" w:ascii="仿宋" w:hAnsi="仿宋" w:eastAsia="仿宋" w:cs="仿宋"/>
                <w:sz w:val="24"/>
                <w:szCs w:val="24"/>
                <w:highlight w:val="none"/>
              </w:rPr>
            </w:pPr>
          </w:p>
        </w:tc>
      </w:tr>
      <w:tr w14:paraId="27C49F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712DDA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第11.1款</w:t>
            </w:r>
          </w:p>
        </w:tc>
        <w:tc>
          <w:tcPr>
            <w:tcW w:w="2769" w:type="dxa"/>
          </w:tcPr>
          <w:p w14:paraId="75634AD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其他应当保密的信息</w:t>
            </w:r>
          </w:p>
        </w:tc>
        <w:tc>
          <w:tcPr>
            <w:tcW w:w="2769" w:type="dxa"/>
          </w:tcPr>
          <w:p w14:paraId="6D6F64E3">
            <w:pPr>
              <w:rPr>
                <w:rFonts w:hint="eastAsia" w:ascii="仿宋" w:hAnsi="仿宋" w:eastAsia="仿宋" w:cs="仿宋"/>
                <w:sz w:val="24"/>
                <w:szCs w:val="24"/>
                <w:highlight w:val="none"/>
              </w:rPr>
            </w:pPr>
          </w:p>
        </w:tc>
      </w:tr>
      <w:tr w14:paraId="2FD69A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DD775A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第12.2款</w:t>
            </w:r>
          </w:p>
        </w:tc>
        <w:tc>
          <w:tcPr>
            <w:tcW w:w="2769" w:type="dxa"/>
          </w:tcPr>
          <w:p w14:paraId="7FCD480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合同价款支付时间</w:t>
            </w:r>
          </w:p>
        </w:tc>
        <w:tc>
          <w:tcPr>
            <w:tcW w:w="2769" w:type="dxa"/>
          </w:tcPr>
          <w:p w14:paraId="0846A0FA">
            <w:pPr>
              <w:rPr>
                <w:rFonts w:hint="eastAsia" w:ascii="仿宋" w:hAnsi="仿宋" w:eastAsia="仿宋" w:cs="仿宋"/>
                <w:sz w:val="24"/>
                <w:szCs w:val="24"/>
                <w:highlight w:val="none"/>
              </w:rPr>
            </w:pPr>
          </w:p>
        </w:tc>
      </w:tr>
      <w:tr w14:paraId="12804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2DC785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第13.2款</w:t>
            </w:r>
          </w:p>
        </w:tc>
        <w:tc>
          <w:tcPr>
            <w:tcW w:w="2769" w:type="dxa"/>
          </w:tcPr>
          <w:p w14:paraId="631D67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履约保证金不予退还的情形</w:t>
            </w:r>
          </w:p>
        </w:tc>
        <w:tc>
          <w:tcPr>
            <w:tcW w:w="2769" w:type="dxa"/>
          </w:tcPr>
          <w:p w14:paraId="05128900">
            <w:pPr>
              <w:rPr>
                <w:rFonts w:hint="eastAsia" w:ascii="仿宋" w:hAnsi="仿宋" w:eastAsia="仿宋" w:cs="仿宋"/>
                <w:sz w:val="24"/>
                <w:szCs w:val="24"/>
                <w:highlight w:val="none"/>
              </w:rPr>
            </w:pPr>
          </w:p>
        </w:tc>
      </w:tr>
      <w:tr w14:paraId="28DFFB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C7C490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第13.3款</w:t>
            </w:r>
          </w:p>
        </w:tc>
        <w:tc>
          <w:tcPr>
            <w:tcW w:w="2769" w:type="dxa"/>
          </w:tcPr>
          <w:p w14:paraId="5020EE0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履约保证金退还时间及逾期退还的违约金</w:t>
            </w:r>
          </w:p>
        </w:tc>
        <w:tc>
          <w:tcPr>
            <w:tcW w:w="2769" w:type="dxa"/>
          </w:tcPr>
          <w:p w14:paraId="4B2CACFD">
            <w:pPr>
              <w:rPr>
                <w:rFonts w:hint="eastAsia" w:ascii="仿宋" w:hAnsi="仿宋" w:eastAsia="仿宋" w:cs="仿宋"/>
                <w:sz w:val="24"/>
                <w:szCs w:val="24"/>
                <w:highlight w:val="none"/>
              </w:rPr>
            </w:pPr>
          </w:p>
        </w:tc>
      </w:tr>
      <w:tr w14:paraId="1E567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84B9D3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第14.1（3）项</w:t>
            </w:r>
          </w:p>
        </w:tc>
        <w:tc>
          <w:tcPr>
            <w:tcW w:w="2769" w:type="dxa"/>
          </w:tcPr>
          <w:p w14:paraId="396D119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运行监督、维修期限</w:t>
            </w:r>
          </w:p>
        </w:tc>
        <w:tc>
          <w:tcPr>
            <w:tcW w:w="2769" w:type="dxa"/>
          </w:tcPr>
          <w:p w14:paraId="0CA2C3A0">
            <w:pPr>
              <w:rPr>
                <w:rFonts w:hint="eastAsia" w:ascii="仿宋" w:hAnsi="仿宋" w:eastAsia="仿宋" w:cs="仿宋"/>
                <w:sz w:val="24"/>
                <w:szCs w:val="24"/>
                <w:highlight w:val="none"/>
              </w:rPr>
            </w:pPr>
          </w:p>
        </w:tc>
      </w:tr>
      <w:tr w14:paraId="46F8E4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AFBD26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第14.1（5）项</w:t>
            </w:r>
          </w:p>
        </w:tc>
        <w:tc>
          <w:tcPr>
            <w:tcW w:w="2769" w:type="dxa"/>
          </w:tcPr>
          <w:p w14:paraId="699A3ED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货物回收的约定</w:t>
            </w:r>
          </w:p>
        </w:tc>
        <w:tc>
          <w:tcPr>
            <w:tcW w:w="2769" w:type="dxa"/>
          </w:tcPr>
          <w:p w14:paraId="12A88785">
            <w:pPr>
              <w:rPr>
                <w:rFonts w:hint="eastAsia" w:ascii="仿宋" w:hAnsi="仿宋" w:eastAsia="仿宋" w:cs="仿宋"/>
                <w:sz w:val="24"/>
                <w:szCs w:val="24"/>
                <w:highlight w:val="none"/>
              </w:rPr>
            </w:pPr>
          </w:p>
        </w:tc>
      </w:tr>
      <w:tr w14:paraId="16A122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5EEB5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第14.1（6）项</w:t>
            </w:r>
          </w:p>
        </w:tc>
        <w:tc>
          <w:tcPr>
            <w:tcW w:w="2769" w:type="dxa"/>
          </w:tcPr>
          <w:p w14:paraId="64EFAAC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乙方提供的其他服务</w:t>
            </w:r>
          </w:p>
        </w:tc>
        <w:tc>
          <w:tcPr>
            <w:tcW w:w="2769" w:type="dxa"/>
          </w:tcPr>
          <w:p w14:paraId="51556D81">
            <w:pPr>
              <w:rPr>
                <w:rFonts w:hint="eastAsia" w:ascii="仿宋" w:hAnsi="仿宋" w:eastAsia="仿宋" w:cs="仿宋"/>
                <w:sz w:val="24"/>
                <w:szCs w:val="24"/>
                <w:highlight w:val="none"/>
              </w:rPr>
            </w:pPr>
          </w:p>
        </w:tc>
      </w:tr>
      <w:tr w14:paraId="552D67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48657A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第15.1款</w:t>
            </w:r>
          </w:p>
        </w:tc>
        <w:tc>
          <w:tcPr>
            <w:tcW w:w="2769" w:type="dxa"/>
          </w:tcPr>
          <w:p w14:paraId="3303061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修理、重作、更换相关具体规定</w:t>
            </w:r>
          </w:p>
        </w:tc>
        <w:tc>
          <w:tcPr>
            <w:tcW w:w="2769" w:type="dxa"/>
          </w:tcPr>
          <w:p w14:paraId="3934B567">
            <w:pPr>
              <w:rPr>
                <w:rFonts w:hint="eastAsia" w:ascii="仿宋" w:hAnsi="仿宋" w:eastAsia="仿宋" w:cs="仿宋"/>
                <w:sz w:val="24"/>
                <w:szCs w:val="24"/>
                <w:highlight w:val="none"/>
              </w:rPr>
            </w:pPr>
          </w:p>
        </w:tc>
      </w:tr>
      <w:tr w14:paraId="4EDEA5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B33A88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第15.2（2）项</w:t>
            </w:r>
          </w:p>
        </w:tc>
        <w:tc>
          <w:tcPr>
            <w:tcW w:w="2769" w:type="dxa"/>
          </w:tcPr>
          <w:p w14:paraId="3A9CE2B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迟延交货赔偿费</w:t>
            </w:r>
          </w:p>
        </w:tc>
        <w:tc>
          <w:tcPr>
            <w:tcW w:w="2769" w:type="dxa"/>
          </w:tcPr>
          <w:p w14:paraId="083FA389">
            <w:pPr>
              <w:rPr>
                <w:rFonts w:hint="eastAsia" w:ascii="仿宋" w:hAnsi="仿宋" w:eastAsia="仿宋" w:cs="仿宋"/>
                <w:sz w:val="24"/>
                <w:szCs w:val="24"/>
                <w:highlight w:val="none"/>
              </w:rPr>
            </w:pPr>
          </w:p>
        </w:tc>
      </w:tr>
      <w:tr w14:paraId="0C61A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CCA31F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第15.3款</w:t>
            </w:r>
          </w:p>
        </w:tc>
        <w:tc>
          <w:tcPr>
            <w:tcW w:w="2769" w:type="dxa"/>
          </w:tcPr>
          <w:p w14:paraId="00B3077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逾期付款利息</w:t>
            </w:r>
          </w:p>
        </w:tc>
        <w:tc>
          <w:tcPr>
            <w:tcW w:w="2769" w:type="dxa"/>
          </w:tcPr>
          <w:p w14:paraId="0EC3A849">
            <w:pPr>
              <w:rPr>
                <w:rFonts w:hint="eastAsia" w:ascii="仿宋" w:hAnsi="仿宋" w:eastAsia="仿宋" w:cs="仿宋"/>
                <w:sz w:val="24"/>
                <w:szCs w:val="24"/>
                <w:highlight w:val="none"/>
              </w:rPr>
            </w:pPr>
          </w:p>
        </w:tc>
      </w:tr>
      <w:tr w14:paraId="170E25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6701D1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第15.4款</w:t>
            </w:r>
          </w:p>
        </w:tc>
        <w:tc>
          <w:tcPr>
            <w:tcW w:w="2769" w:type="dxa"/>
          </w:tcPr>
          <w:p w14:paraId="5E211E8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其他违约责任</w:t>
            </w:r>
          </w:p>
        </w:tc>
        <w:tc>
          <w:tcPr>
            <w:tcW w:w="2769" w:type="dxa"/>
          </w:tcPr>
          <w:p w14:paraId="3B684797">
            <w:pPr>
              <w:rPr>
                <w:rFonts w:hint="eastAsia" w:ascii="仿宋" w:hAnsi="仿宋" w:eastAsia="仿宋" w:cs="仿宋"/>
                <w:sz w:val="24"/>
                <w:szCs w:val="24"/>
                <w:highlight w:val="none"/>
              </w:rPr>
            </w:pPr>
          </w:p>
        </w:tc>
      </w:tr>
      <w:tr w14:paraId="6345D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0D7945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第19.2款</w:t>
            </w:r>
          </w:p>
        </w:tc>
        <w:tc>
          <w:tcPr>
            <w:tcW w:w="2769" w:type="dxa"/>
          </w:tcPr>
          <w:p w14:paraId="7E62F2B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解决争议的方法</w:t>
            </w:r>
          </w:p>
        </w:tc>
        <w:tc>
          <w:tcPr>
            <w:tcW w:w="2769" w:type="dxa"/>
          </w:tcPr>
          <w:p w14:paraId="3037B2D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因本合同及合同有关事项发生的争议，按下列第____ 种方式解决：</w:t>
            </w:r>
          </w:p>
          <w:p w14:paraId="5C2A51E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（1）向 __________________仲裁委员会申请仲裁，仲裁地点为 ____________ ；</w:t>
            </w:r>
          </w:p>
          <w:p w14:paraId="1700756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（2）向__________________人民法院起诉。</w:t>
            </w:r>
          </w:p>
        </w:tc>
      </w:tr>
      <w:tr w14:paraId="6EC841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6D3EF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第二节 第23.1款</w:t>
            </w:r>
          </w:p>
        </w:tc>
        <w:tc>
          <w:tcPr>
            <w:tcW w:w="2769" w:type="dxa"/>
          </w:tcPr>
          <w:p w14:paraId="4A8DB6C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其他专用条款</w:t>
            </w:r>
          </w:p>
        </w:tc>
        <w:tc>
          <w:tcPr>
            <w:tcW w:w="2769" w:type="dxa"/>
          </w:tcPr>
          <w:p w14:paraId="11F73B05">
            <w:pPr>
              <w:rPr>
                <w:rFonts w:hint="eastAsia" w:ascii="仿宋" w:hAnsi="仿宋" w:eastAsia="仿宋" w:cs="仿宋"/>
                <w:sz w:val="24"/>
                <w:szCs w:val="24"/>
                <w:highlight w:val="none"/>
              </w:rPr>
            </w:pPr>
          </w:p>
        </w:tc>
      </w:tr>
    </w:tbl>
    <w:p w14:paraId="6BC5A753">
      <w:pPr>
        <w:pStyle w:val="7"/>
        <w:jc w:val="left"/>
        <w:rPr>
          <w:rFonts w:hint="eastAsia" w:ascii="仿宋" w:hAnsi="仿宋" w:eastAsia="仿宋" w:cs="仿宋"/>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5F364B44">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第七章 电子投标文件格式</w:t>
      </w:r>
    </w:p>
    <w:p w14:paraId="5910FB2E">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编制说明</w:t>
      </w:r>
    </w:p>
    <w:p w14:paraId="1EAA762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1、除招标文件另有规定外，本章中：</w:t>
      </w:r>
    </w:p>
    <w:p w14:paraId="6A013FE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1.1涉及投标人的“全称”：</w:t>
      </w:r>
    </w:p>
    <w:p w14:paraId="12DA890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（1）不接受联合体投标的，指投标人的全称。</w:t>
      </w:r>
    </w:p>
    <w:p w14:paraId="47C0726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（2）接受联合体投标且投标人为联合体的，指牵头方的全称并加注（联合体牵头方），即应表述为：“牵头方的全称（联合体牵头方）”。</w:t>
      </w:r>
    </w:p>
    <w:p w14:paraId="4BB5B72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1.2涉及投标人“加盖单位公章”：</w:t>
      </w:r>
    </w:p>
    <w:p w14:paraId="1101AA3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（1）不接受联合体投标的，指加盖投标人的单位公章。</w:t>
      </w:r>
    </w:p>
    <w:p w14:paraId="0FADF8D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（2）接受联合体投标且投标人为联合体的，指加盖联合体牵头方的单位公章。</w:t>
      </w:r>
    </w:p>
    <w:p w14:paraId="3A93D9E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1.3涉及“投标人代表签字”：</w:t>
      </w:r>
    </w:p>
    <w:p w14:paraId="257F8DF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（1）不接受联合体投标的，指由投标人的单位负责人或其授权的委托代理人签字，由委托代理人签字的，应提供“单位授权书”。</w:t>
      </w:r>
    </w:p>
    <w:p w14:paraId="7A34944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（2）接受联合体投标且投标人为联合体的，指由联合体牵头方的单位负责人或其授权的委托代理人签字，由委托代理人签字的，应提供“单位授权书”。</w:t>
      </w:r>
    </w:p>
    <w:p w14:paraId="7C3286B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1.4“其他组织”指合伙企业、非企业专业服务机构、个体工商户、农村承包经营户等。</w:t>
      </w:r>
    </w:p>
    <w:p w14:paraId="19CD56B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1.5“自然人”指具有完全民事行为能力、能够承担民事责任和义务的中国公民。</w:t>
      </w:r>
    </w:p>
    <w:p w14:paraId="5E08C69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2、除招标文件另有规定外，本章中“投标人的资格及资信证明文件”：</w:t>
      </w:r>
    </w:p>
    <w:p w14:paraId="55CAA11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2.1投标人应按照招标文件第四章第1.3条第（2）款规定及本章规定进行编制，如有必要，可增加附页，附页作为资格及资信文件的组成部分。</w:t>
      </w:r>
    </w:p>
    <w:p w14:paraId="1DAEC90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2.2接受联合体投标且投标人为联合体的，联合体中的各方均应按照本章第2.1条规定提交相应的全部资料。</w:t>
      </w:r>
    </w:p>
    <w:p w14:paraId="1592B16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3、投标人对电子投标文件的索引应编制页码。</w:t>
      </w:r>
    </w:p>
    <w:p w14:paraId="3AE61BF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4、本章提供格式仅供参考，投标人应根据自身实际情况制作电子投标文件。</w:t>
      </w:r>
    </w:p>
    <w:p w14:paraId="3B5F7778">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8273454">
      <w:pPr>
        <w:pStyle w:val="7"/>
        <w:jc w:val="center"/>
        <w:outlineLvl w:val="2"/>
        <w:rPr>
          <w:rFonts w:hint="eastAsia" w:ascii="仿宋" w:hAnsi="仿宋" w:eastAsia="仿宋" w:cs="仿宋"/>
          <w:b/>
          <w:sz w:val="28"/>
          <w:highlight w:val="none"/>
        </w:rPr>
      </w:pPr>
      <w:r>
        <w:rPr>
          <w:rFonts w:hint="eastAsia" w:ascii="仿宋" w:hAnsi="仿宋" w:eastAsia="仿宋" w:cs="仿宋"/>
          <w:b/>
          <w:sz w:val="28"/>
          <w:highlight w:val="none"/>
        </w:rPr>
        <w:t>封面格式(资格及资信证明部分)</w:t>
      </w:r>
    </w:p>
    <w:p w14:paraId="65B23826">
      <w:pPr>
        <w:pStyle w:val="7"/>
        <w:jc w:val="center"/>
        <w:outlineLvl w:val="2"/>
        <w:rPr>
          <w:rFonts w:hint="eastAsia" w:ascii="仿宋" w:hAnsi="仿宋" w:eastAsia="仿宋" w:cs="仿宋"/>
          <w:b/>
          <w:sz w:val="28"/>
          <w:highlight w:val="none"/>
        </w:rPr>
      </w:pPr>
    </w:p>
    <w:p w14:paraId="60A256F5">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福建省政府采购投标文件</w:t>
      </w:r>
    </w:p>
    <w:p w14:paraId="3A12FB4F">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（资格及资信证明部分）</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0A34B1C5">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（填写正本或副本）</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4C28DACC">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（项目名称：（由投标人填写）</w:t>
      </w:r>
    </w:p>
    <w:p w14:paraId="16B5C3B9">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（备案编号：（由投标人填写）</w:t>
      </w:r>
    </w:p>
    <w:p w14:paraId="4430F099">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（项目编号：（由投标人填写）</w:t>
      </w:r>
    </w:p>
    <w:p w14:paraId="07552ED8">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（所投采购包：（由投标人填写）</w:t>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27D39DA9">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投标人：（填写“全称”）</w:t>
      </w:r>
    </w:p>
    <w:p w14:paraId="5537F824">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（由投标人填写）年（由投标人填写）月</w:t>
      </w:r>
    </w:p>
    <w:p w14:paraId="4AD161BE">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6621D0A5">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索引</w:t>
      </w:r>
    </w:p>
    <w:p w14:paraId="3B914B8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一、投标函</w:t>
      </w:r>
    </w:p>
    <w:p w14:paraId="1EAC2F5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二、投标人的资格及资信证明文件</w:t>
      </w:r>
    </w:p>
    <w:p w14:paraId="7F0754A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三、投标保证金</w:t>
      </w:r>
    </w:p>
    <w:p w14:paraId="648D637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79D993E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资格及资信证明部分中不得出现报价部分的全部或部分的投标报价信息（或组成资料），否则资格审查不合格。（联合体协议及分包意向协议中的比例规定，不适用本条款）</w:t>
      </w:r>
    </w:p>
    <w:p w14:paraId="4950769A">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2E46A14B">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一、投标函</w:t>
      </w:r>
    </w:p>
    <w:p w14:paraId="7807C1E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576D303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兹收到贵单位关于</w:t>
      </w:r>
      <w:r>
        <w:rPr>
          <w:rFonts w:hint="eastAsia" w:ascii="仿宋" w:hAnsi="仿宋" w:eastAsia="仿宋" w:cs="仿宋"/>
          <w:sz w:val="24"/>
          <w:szCs w:val="24"/>
          <w:highlight w:val="none"/>
          <w:u w:val="single"/>
        </w:rPr>
        <w:t xml:space="preserve">（填写“项目名称”） </w:t>
      </w:r>
      <w:r>
        <w:rPr>
          <w:rFonts w:hint="eastAsia" w:ascii="仿宋" w:hAnsi="仿宋" w:eastAsia="仿宋" w:cs="仿宋"/>
          <w:sz w:val="24"/>
          <w:szCs w:val="24"/>
          <w:highlight w:val="none"/>
        </w:rPr>
        <w:t>项目</w:t>
      </w:r>
      <w:r>
        <w:rPr>
          <w:rFonts w:hint="eastAsia" w:ascii="仿宋" w:hAnsi="仿宋" w:eastAsia="仿宋" w:cs="仿宋"/>
          <w:sz w:val="24"/>
          <w:szCs w:val="24"/>
          <w:highlight w:val="none"/>
          <w:u w:val="single"/>
        </w:rPr>
        <w:t xml:space="preserve">（项目编号：　　　　　） </w:t>
      </w:r>
      <w:r>
        <w:rPr>
          <w:rFonts w:hint="eastAsia" w:ascii="仿宋" w:hAnsi="仿宋" w:eastAsia="仿宋" w:cs="仿宋"/>
          <w:sz w:val="24"/>
          <w:szCs w:val="24"/>
          <w:highlight w:val="none"/>
        </w:rPr>
        <w:t>的投标邀请，本投标人代表</w:t>
      </w:r>
      <w:r>
        <w:rPr>
          <w:rFonts w:hint="eastAsia" w:ascii="仿宋" w:hAnsi="仿宋" w:eastAsia="仿宋" w:cs="仿宋"/>
          <w:sz w:val="24"/>
          <w:szCs w:val="24"/>
          <w:highlight w:val="none"/>
          <w:u w:val="single"/>
        </w:rPr>
        <w:t xml:space="preserve">（填写“全名”） </w:t>
      </w:r>
      <w:r>
        <w:rPr>
          <w:rFonts w:hint="eastAsia" w:ascii="仿宋" w:hAnsi="仿宋" w:eastAsia="仿宋" w:cs="仿宋"/>
          <w:sz w:val="24"/>
          <w:szCs w:val="24"/>
          <w:highlight w:val="none"/>
        </w:rPr>
        <w:t>已获得我方正式授权并代表投标人（填写“全称”）参加投标，并提交电子投标文件。我方提交的全部电子投标文件由下述部分组成：</w:t>
      </w:r>
    </w:p>
    <w:p w14:paraId="6BFCF34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（1）资格及资信证明部分</w:t>
      </w:r>
    </w:p>
    <w:p w14:paraId="357F680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①投标函</w:t>
      </w:r>
    </w:p>
    <w:p w14:paraId="5A7EE32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②投标人的资格及资信证明文件</w:t>
      </w:r>
    </w:p>
    <w:p w14:paraId="210569D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③投标保证金</w:t>
      </w:r>
    </w:p>
    <w:p w14:paraId="036C964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（2）报价部分</w:t>
      </w:r>
    </w:p>
    <w:p w14:paraId="42CC002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①开标（报价）一览表</w:t>
      </w:r>
    </w:p>
    <w:p w14:paraId="187BE61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②投标（响应）报价明细表</w:t>
      </w:r>
    </w:p>
    <w:p w14:paraId="1F8CC58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③招标文件规定的价格扣除证明材料（若有）</w:t>
      </w:r>
    </w:p>
    <w:p w14:paraId="707B982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④招标文件规定的加分证明材料（若有）</w:t>
      </w:r>
    </w:p>
    <w:p w14:paraId="3EF00F6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（3）技术商务部分</w:t>
      </w:r>
    </w:p>
    <w:p w14:paraId="71F067A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①标的说明一览表</w:t>
      </w:r>
    </w:p>
    <w:p w14:paraId="1D58701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②技术和服务要求响应表</w:t>
      </w:r>
    </w:p>
    <w:p w14:paraId="6779A0E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③商务条件响应表</w:t>
      </w:r>
    </w:p>
    <w:p w14:paraId="2E488C3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④投标人提交的其他资料（若有）</w:t>
      </w:r>
    </w:p>
    <w:p w14:paraId="2E0E7BD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根据本函，本投标人代表宣布我方保证遵守招标文件的全部规定，同时：</w:t>
      </w:r>
    </w:p>
    <w:p w14:paraId="740D067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1、确认：</w:t>
      </w:r>
    </w:p>
    <w:p w14:paraId="7A560D0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1.1所投采购包的投标报价详见“开标（报价）一览表”及“投标（响应）报价明细表”。</w:t>
      </w:r>
    </w:p>
    <w:p w14:paraId="0148FE0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1.2我方已详细审查全部招标文件[包括但不限于：有关附件（若有）、澄清或修改（若有）等]，并自行承担因对全部招标文件理解不正确或误解而产生的相应后果和责任。</w:t>
      </w:r>
    </w:p>
    <w:p w14:paraId="7A14B2C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2、承诺及声明：</w:t>
      </w:r>
    </w:p>
    <w:p w14:paraId="6342669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2.1我方具备招标文件第一章载明的“投标人的资格要求”且符合招标文件第三章载明的“二、投标人”之规定，否则投标无效。</w:t>
      </w:r>
    </w:p>
    <w:p w14:paraId="63B91E0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2.2我方提交的电子投标文件各组成部分的全部内容及资料是不可割离且真实、有效、准确、完整和不具有任何误导性的，否则产生不利后果由我方承担责任。</w:t>
      </w:r>
    </w:p>
    <w:p w14:paraId="24AF77C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2.3我方提供的标的价格不高于同期市场价格，否则产生不利后果由我方承担责任。</w:t>
      </w:r>
    </w:p>
    <w:p w14:paraId="0ADABD9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2.4投标保证金：若出现招标文件第三章规定的不予退还情形，同意贵单位不予退还。</w:t>
      </w:r>
    </w:p>
    <w:p w14:paraId="4B7F1AC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2.5投标有效期：按照招标文件第三章规定执行，并在招标文件第二章载明的期限内保持有效。</w:t>
      </w:r>
    </w:p>
    <w:p w14:paraId="7DBD80B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2.6若中标，将按照招标文件、我方电子投标文件及政府采购合同履行责任和义务。</w:t>
      </w:r>
    </w:p>
    <w:p w14:paraId="10CD293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2.7若贵单位要求，我方同意提供与本项目投标有关的一切资料、数据或文件，并完全理解贵单位不一定要接受最低的投标报价或收到的任何投标。</w:t>
      </w:r>
    </w:p>
    <w:p w14:paraId="3070F7D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2.8我方承诺遵守《中华人民共和国劳动合同法》有关规定和《中华人民共和国妇女权益保障法 》中关于“劳动和社会保障权益”的有关要求。</w:t>
      </w:r>
    </w:p>
    <w:p w14:paraId="317421C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2.9我方承诺电子投标文件所提供的全部资料真实可靠，并接受评标委员会、采购人、采购代理机构、监管部门进一步审查其中任何资料真实性的要求。</w:t>
      </w:r>
    </w:p>
    <w:p w14:paraId="1B2214D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2.10除招标文件另有规定外，对于贵单位按照下述联络方式发出的任何信息或通知，均视为我方已收悉前述信息或通知的全部内容：</w:t>
      </w:r>
    </w:p>
    <w:p w14:paraId="7D448EB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通信地址：</w:t>
      </w:r>
    </w:p>
    <w:p w14:paraId="365E969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p w14:paraId="036A244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联系方法：（包括但不限于：联系人、联系电话、手机、传真、电子邮箱等）</w:t>
      </w:r>
    </w:p>
    <w:p w14:paraId="095FECF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投标人：（全称并加盖单位公章）</w:t>
      </w:r>
    </w:p>
    <w:p w14:paraId="20EC571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p w14:paraId="18B11D0C">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A828719">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二、投标人的资格及资信证明文件</w:t>
      </w:r>
    </w:p>
    <w:p w14:paraId="0FB19F4B">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二-1单位授权书（若有）</w:t>
      </w:r>
    </w:p>
    <w:p w14:paraId="3292DF2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185E6AD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我方的单位负责人</w:t>
      </w:r>
      <w:r>
        <w:rPr>
          <w:rFonts w:hint="eastAsia" w:ascii="仿宋" w:hAnsi="仿宋" w:eastAsia="仿宋" w:cs="仿宋"/>
          <w:sz w:val="24"/>
          <w:szCs w:val="24"/>
          <w:highlight w:val="none"/>
          <w:u w:val="single"/>
        </w:rPr>
        <w:t>（填写“单位负责人全名”）</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（填写“投标人代表全名”）</w:t>
      </w:r>
      <w:r>
        <w:rPr>
          <w:rFonts w:hint="eastAsia" w:ascii="仿宋" w:hAnsi="仿宋" w:eastAsia="仿宋" w:cs="仿宋"/>
          <w:sz w:val="24"/>
          <w:szCs w:val="24"/>
          <w:highlight w:val="none"/>
        </w:rPr>
        <w:t>为投标人代表，代表我方参加</w:t>
      </w:r>
      <w:r>
        <w:rPr>
          <w:rFonts w:hint="eastAsia" w:ascii="仿宋" w:hAnsi="仿宋" w:eastAsia="仿宋" w:cs="仿宋"/>
          <w:sz w:val="24"/>
          <w:szCs w:val="24"/>
          <w:highlight w:val="none"/>
          <w:u w:val="single"/>
        </w:rPr>
        <w:t>（填写“项目名称”）</w:t>
      </w:r>
      <w:r>
        <w:rPr>
          <w:rFonts w:hint="eastAsia" w:ascii="仿宋" w:hAnsi="仿宋" w:eastAsia="仿宋" w:cs="仿宋"/>
          <w:sz w:val="24"/>
          <w:szCs w:val="24"/>
          <w:highlight w:val="none"/>
        </w:rPr>
        <w:t>项目（项目编号：</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的投标，全权代表我方处理投标过程的一切事宜，包括但不限于：投标、参加开标、谈判、澄清、签约等。投标人代表在投标过程中所签署的一切文件和处理与之有关的一切事务，我方均予以认可并对此承担责任。</w:t>
      </w:r>
    </w:p>
    <w:p w14:paraId="6713044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投标人代表无转委权。特此授权。</w:t>
      </w:r>
    </w:p>
    <w:p w14:paraId="71D80E4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387A40C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单位负责人：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手机：</w:t>
      </w:r>
      <w:r>
        <w:rPr>
          <w:rFonts w:hint="eastAsia" w:ascii="仿宋" w:hAnsi="仿宋" w:eastAsia="仿宋" w:cs="仿宋"/>
          <w:sz w:val="24"/>
          <w:szCs w:val="24"/>
          <w:highlight w:val="none"/>
          <w:u w:val="single"/>
        </w:rPr>
        <w:t>　　　　　</w:t>
      </w:r>
    </w:p>
    <w:p w14:paraId="401B367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投标人代表：</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手机：</w:t>
      </w:r>
      <w:r>
        <w:rPr>
          <w:rFonts w:hint="eastAsia" w:ascii="仿宋" w:hAnsi="仿宋" w:eastAsia="仿宋" w:cs="仿宋"/>
          <w:sz w:val="24"/>
          <w:szCs w:val="24"/>
          <w:highlight w:val="none"/>
          <w:u w:val="single"/>
        </w:rPr>
        <w:t>　　　　　</w:t>
      </w:r>
    </w:p>
    <w:p w14:paraId="2BED574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授权方</w:t>
      </w:r>
    </w:p>
    <w:p w14:paraId="3FDCBC4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62AF60C1">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签署日期： 年 月 日</w:t>
      </w:r>
    </w:p>
    <w:p w14:paraId="564C435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附：单位负责人、投标人代表的身份证正反面复印件</w:t>
      </w:r>
    </w:p>
    <w:p w14:paraId="2E9B7FA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要求：真实有效且内容完整、清晰、整洁。</w:t>
      </w:r>
    </w:p>
    <w:p w14:paraId="5A2E108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6A84B5B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1、企业（银行、保险、石油石化、电力、电信等行业除外）、事业单位和社会团体法人的“单位负责人”指法定代表人，即与实际提交的“营业执照等证明文件”载明的一致。</w:t>
      </w:r>
    </w:p>
    <w:p w14:paraId="11D6824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14:paraId="37DC982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3、投标人（自然人除外）：若投标人代表为单位授权的委托代理人，应提供本授权书；若投标人代表为单位负责人，应在此项下提交其身份证正反面复印件，可不提供本授权书。</w:t>
      </w:r>
    </w:p>
    <w:p w14:paraId="4DA268C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4、投标人为自然人的，可不填写本授权书。</w:t>
      </w:r>
    </w:p>
    <w:p w14:paraId="4766ECF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2797576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二-2 证明材料</w:t>
      </w:r>
    </w:p>
    <w:p w14:paraId="71100A1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注：根据招标文件第四章第一资格审查的1.3的“④其他资格证明文件”要求，允许</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采用资格承诺制的，可提供符合要求的二-2-1资格承诺函，视为满足招标文件的资格要求，投标人根据投标文件格式二-2-1、二-2-2提供其中一种证明材料，若重复提供导致的不利后果，由投标人自行负责。</w:t>
      </w:r>
    </w:p>
    <w:p w14:paraId="27F0C403">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二-2-1 福建省政府采购</w:t>
      </w:r>
      <w:r>
        <w:rPr>
          <w:rFonts w:hint="eastAsia" w:ascii="仿宋" w:hAnsi="仿宋" w:eastAsia="仿宋" w:cs="仿宋"/>
          <w:b/>
          <w:sz w:val="24"/>
          <w:szCs w:val="24"/>
          <w:highlight w:val="none"/>
          <w:lang w:eastAsia="zh-CN"/>
        </w:rPr>
        <w:t>投标人</w:t>
      </w:r>
      <w:r>
        <w:rPr>
          <w:rFonts w:hint="eastAsia" w:ascii="仿宋" w:hAnsi="仿宋" w:eastAsia="仿宋" w:cs="仿宋"/>
          <w:b/>
          <w:sz w:val="24"/>
          <w:szCs w:val="24"/>
          <w:highlight w:val="none"/>
        </w:rPr>
        <w:t>资格承诺函</w:t>
      </w:r>
    </w:p>
    <w:p w14:paraId="4DD1D6D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6772081B">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单位名称(自然人姓名):</w:t>
      </w:r>
    </w:p>
    <w:p w14:paraId="4E8B2F25">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统一社会信用代码(自然人身份证号码):</w:t>
      </w:r>
    </w:p>
    <w:p w14:paraId="47E01A6F">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法定代表人(负责人):</w:t>
      </w:r>
    </w:p>
    <w:p w14:paraId="4998F134">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联系地址和电话:</w:t>
      </w:r>
    </w:p>
    <w:p w14:paraId="7B49A19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我单位(本人)自愿参加本次政府采购活动，严格遵守《中华人民共和国政府采购法》及相关法律法规，坚守公开、公平公正和诚实信用等原则，依法诚信经营，并郑重承诺:</w:t>
      </w:r>
    </w:p>
    <w:p w14:paraId="519322C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一、我单位(本人)具备采购文件要求以及《中华人民共和国政府采购法》第二十二条规定的条件:</w:t>
      </w:r>
    </w:p>
    <w:p w14:paraId="47B051FC">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1.具有独立承担民事责任的能力;</w:t>
      </w:r>
    </w:p>
    <w:p w14:paraId="749C43AD">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2.具有良好的商业信誉和健全的财务会计制度;</w:t>
      </w:r>
    </w:p>
    <w:p w14:paraId="07587868">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3.具有履行合同所必需的设备和专业技术能力;</w:t>
      </w:r>
    </w:p>
    <w:p w14:paraId="3E81884B">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4.有依法缴纳税收和社会保障资金的良好记录;</w:t>
      </w:r>
    </w:p>
    <w:p w14:paraId="45588039">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5.参加政府采购活动前三年内，在经营活动中没有重大违法记录；</w:t>
      </w:r>
    </w:p>
    <w:p w14:paraId="24543435">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6.法律、行政法规规定的其他条件。</w:t>
      </w:r>
    </w:p>
    <w:p w14:paraId="536BAD5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二、不存在违反《中华人民共和国政府采购法实施条例》第十八条规定的“单位负责人为同一人或者存在直接控股、管理关系的不同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，不得参加同一合同项下的政府采购活动。除单一来源采购项目外，为采购项目提供整体设计、规范编制或者项目管理、监理、检测等服务的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，不得再参加该采购项目的其他采购活动”情形。</w:t>
      </w:r>
    </w:p>
    <w:p w14:paraId="593E3A4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14:paraId="56303B32">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名称(单位公章):</w:t>
      </w:r>
    </w:p>
    <w:p w14:paraId="0A556468">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518B192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w:t>
      </w:r>
    </w:p>
    <w:p w14:paraId="4AF819F1">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1.我单位(本人)专指参加政府采购活动的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(含自然人)；</w:t>
      </w:r>
    </w:p>
    <w:p w14:paraId="7F1E26D9">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2.资格承诺的</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应在投标(响应)文件中按此模板提供承诺函，否则，视为未按照招标文件规定提交投标人的资格及资信文件，按资格审查不通过处理。</w:t>
      </w:r>
    </w:p>
    <w:p w14:paraId="69407EA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01C2E8C6">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二-2-2 资格证明材料</w:t>
      </w:r>
    </w:p>
    <w:p w14:paraId="6616040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营业执照等证明文件</w:t>
      </w:r>
    </w:p>
    <w:p w14:paraId="363F04A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792B413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）投标人为法人（包括企业、事业单位和社会团体）的</w:t>
      </w:r>
    </w:p>
    <w:p w14:paraId="1EECD0B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现附上由</w:t>
      </w:r>
      <w:r>
        <w:rPr>
          <w:rFonts w:hint="eastAsia" w:ascii="仿宋" w:hAnsi="仿宋" w:eastAsia="仿宋" w:cs="仿宋"/>
          <w:sz w:val="24"/>
          <w:szCs w:val="24"/>
          <w:highlight w:val="none"/>
          <w:u w:val="single"/>
        </w:rPr>
        <w:t>（（填写“签发机关全称”）</w:t>
      </w:r>
      <w:r>
        <w:rPr>
          <w:rFonts w:hint="eastAsia" w:ascii="仿宋" w:hAnsi="仿宋" w:eastAsia="仿宋" w:cs="仿宋"/>
          <w:sz w:val="24"/>
          <w:szCs w:val="24"/>
          <w:highlight w:val="none"/>
        </w:rPr>
        <w:t>签发的我方统一社会信用代码（请填写法人的具体证照名称）复印件，该证明材料真实有效，否则我方负全部责任。</w:t>
      </w:r>
    </w:p>
    <w:p w14:paraId="0CE491E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）投标人为非法人（包括其他组织、自然人）的</w:t>
      </w:r>
    </w:p>
    <w:p w14:paraId="4EE6008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□现附上由</w:t>
      </w:r>
      <w:r>
        <w:rPr>
          <w:rFonts w:hint="eastAsia" w:ascii="仿宋" w:hAnsi="仿宋" w:eastAsia="仿宋" w:cs="仿宋"/>
          <w:sz w:val="24"/>
          <w:szCs w:val="24"/>
          <w:highlight w:val="none"/>
          <w:u w:val="single"/>
        </w:rPr>
        <w:t>（（填写“签发机关全称”）</w:t>
      </w:r>
      <w:r>
        <w:rPr>
          <w:rFonts w:hint="eastAsia" w:ascii="仿宋" w:hAnsi="仿宋" w:eastAsia="仿宋" w:cs="仿宋"/>
          <w:sz w:val="24"/>
          <w:szCs w:val="24"/>
          <w:highlight w:val="none"/>
        </w:rPr>
        <w:t>签发的我方（请填写非自然人的非法人的具体证照名称）复印件，该证明材料真实有效，否则我方负全部责任。</w:t>
      </w:r>
    </w:p>
    <w:p w14:paraId="672CBE0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□现附上由</w:t>
      </w:r>
      <w:r>
        <w:rPr>
          <w:rFonts w:hint="eastAsia" w:ascii="仿宋" w:hAnsi="仿宋" w:eastAsia="仿宋" w:cs="仿宋"/>
          <w:sz w:val="24"/>
          <w:szCs w:val="24"/>
          <w:highlight w:val="none"/>
          <w:u w:val="single"/>
        </w:rPr>
        <w:t>（（填写“签发机关全称”）</w:t>
      </w:r>
      <w:r>
        <w:rPr>
          <w:rFonts w:hint="eastAsia" w:ascii="仿宋" w:hAnsi="仿宋" w:eastAsia="仿宋" w:cs="仿宋"/>
          <w:sz w:val="24"/>
          <w:szCs w:val="24"/>
          <w:highlight w:val="none"/>
        </w:rPr>
        <w:t>签发的我方（请填写自然人的身份证件名称）复印件，该证明材料真实有效，否则我方负全部责任。</w:t>
      </w:r>
    </w:p>
    <w:p w14:paraId="5BADDC0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680CFB7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1、请投标人按照实际情况编制填写，在相应的（）中打“√”并选择相应的“□”（若有）后，再按照本格式的要求提供相应证明材料的复印件。</w:t>
      </w:r>
    </w:p>
    <w:p w14:paraId="778E355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14:paraId="5F214C40">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01D12EEE">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11ACBBF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7A0578E9">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财务状况报告（财务报告、或资信证明）</w:t>
      </w:r>
    </w:p>
    <w:p w14:paraId="056E6A8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6265C34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）投标人提供财务报告的</w:t>
      </w:r>
    </w:p>
    <w:p w14:paraId="084F598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□企业适用：现附上我方</w:t>
      </w:r>
      <w:r>
        <w:rPr>
          <w:rFonts w:hint="eastAsia" w:ascii="仿宋" w:hAnsi="仿宋" w:eastAsia="仿宋" w:cs="仿宋"/>
          <w:sz w:val="24"/>
          <w:szCs w:val="24"/>
          <w:highlight w:val="none"/>
          <w:u w:val="single"/>
        </w:rPr>
        <w:t>（填写“具体的年度、或半年度、季度”）</w:t>
      </w:r>
      <w:r>
        <w:rPr>
          <w:rFonts w:hint="eastAsia" w:ascii="仿宋" w:hAnsi="仿宋" w:eastAsia="仿宋" w:cs="仿宋"/>
          <w:sz w:val="24"/>
          <w:szCs w:val="24"/>
          <w:highlight w:val="none"/>
        </w:rPr>
        <w:t>财务报告复印件，包括资产负债表、利润表、现金流量表、所有者权益变动表（若有）及其附注（若有）、会计师事务所营业执照和注册会计师资格证书，上述证明材料真实有效，否则我方负全部责任。</w:t>
      </w:r>
    </w:p>
    <w:p w14:paraId="63EC101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□事业单位适用：现附上我方</w:t>
      </w:r>
      <w:r>
        <w:rPr>
          <w:rFonts w:hint="eastAsia" w:ascii="仿宋" w:hAnsi="仿宋" w:eastAsia="仿宋" w:cs="仿宋"/>
          <w:sz w:val="24"/>
          <w:szCs w:val="24"/>
          <w:highlight w:val="none"/>
          <w:u w:val="single"/>
        </w:rPr>
        <w:t>（填写“具体的年度、或半年度、或季度”）</w:t>
      </w:r>
      <w:r>
        <w:rPr>
          <w:rFonts w:hint="eastAsia" w:ascii="仿宋" w:hAnsi="仿宋" w:eastAsia="仿宋" w:cs="仿宋"/>
          <w:sz w:val="24"/>
          <w:szCs w:val="24"/>
          <w:highlight w:val="none"/>
        </w:rPr>
        <w:t>财务报告复印件，包括资产负债表、收入支出表（或收入费用表）、财政补助收入支出表（若有）、会计师事务所营业执照和注册会计师资格证书，上述证明材料真实有效，否则我方负全部责任。</w:t>
      </w:r>
    </w:p>
    <w:p w14:paraId="527E415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□社会团体、民办非企适用：现附上我方</w:t>
      </w:r>
      <w:r>
        <w:rPr>
          <w:rFonts w:hint="eastAsia" w:ascii="仿宋" w:hAnsi="仿宋" w:eastAsia="仿宋" w:cs="仿宋"/>
          <w:sz w:val="24"/>
          <w:szCs w:val="24"/>
          <w:highlight w:val="none"/>
          <w:u w:val="single"/>
        </w:rPr>
        <w:t>（填写“具体的年度、或半年度、或季度”）</w:t>
      </w:r>
      <w:r>
        <w:rPr>
          <w:rFonts w:hint="eastAsia" w:ascii="仿宋" w:hAnsi="仿宋" w:eastAsia="仿宋" w:cs="仿宋"/>
          <w:sz w:val="24"/>
          <w:szCs w:val="24"/>
          <w:highlight w:val="none"/>
        </w:rPr>
        <w:t>财务报告复印件，包括资产负债表、业务活动表、现金流量表、会计师事务所营业执照和注册会计师资格证书，上述证明材料真实有效，否则我方负全部责任。</w:t>
      </w:r>
    </w:p>
    <w:p w14:paraId="1E637AC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）投标人提供资信证明的</w:t>
      </w:r>
    </w:p>
    <w:p w14:paraId="6649699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□非自然人适用（包括企业、事业单位、社会团体和其他组织）：现附上我方银行：</w:t>
      </w:r>
      <w:r>
        <w:rPr>
          <w:rFonts w:hint="eastAsia" w:ascii="仿宋" w:hAnsi="仿宋" w:eastAsia="仿宋" w:cs="仿宋"/>
          <w:sz w:val="24"/>
          <w:szCs w:val="24"/>
          <w:highlight w:val="none"/>
          <w:u w:val="single"/>
        </w:rPr>
        <w:t>（填写“开户银行全称”）</w:t>
      </w:r>
      <w:r>
        <w:rPr>
          <w:rFonts w:hint="eastAsia" w:ascii="仿宋" w:hAnsi="仿宋" w:eastAsia="仿宋" w:cs="仿宋"/>
          <w:sz w:val="24"/>
          <w:szCs w:val="24"/>
          <w:highlight w:val="none"/>
        </w:rPr>
        <w:t>出具的资信证明复印件，上述证明材料真实有效，否则我方负全部责任。</w:t>
      </w:r>
    </w:p>
    <w:p w14:paraId="062F469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□自然人适用：现附上我方银行</w:t>
      </w:r>
      <w:r>
        <w:rPr>
          <w:rFonts w:hint="eastAsia" w:ascii="仿宋" w:hAnsi="仿宋" w:eastAsia="仿宋" w:cs="仿宋"/>
          <w:sz w:val="24"/>
          <w:szCs w:val="24"/>
          <w:highlight w:val="none"/>
          <w:u w:val="single"/>
        </w:rPr>
        <w:t>：（填写自然人的“个人账户的开户银行全称”）</w:t>
      </w:r>
      <w:r>
        <w:rPr>
          <w:rFonts w:hint="eastAsia" w:ascii="仿宋" w:hAnsi="仿宋" w:eastAsia="仿宋" w:cs="仿宋"/>
          <w:sz w:val="24"/>
          <w:szCs w:val="24"/>
          <w:highlight w:val="none"/>
        </w:rPr>
        <w:t>出具的资信证明复印件，上述证明材料真实有效，否则我方负全部责任。</w:t>
      </w:r>
    </w:p>
    <w:p w14:paraId="76230E2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4BE6E46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1、请投标人按照实际情况编制填写，在相应的（）中打“√”并选择相应的“□”（若有）后，再按照本格式的要求提供相应证明材料的复印件。</w:t>
      </w:r>
    </w:p>
    <w:p w14:paraId="7F085CF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2、投标人提供的财务报告复印件（成立年限按照投标截止时间推算）应符合下列规定：</w:t>
      </w:r>
    </w:p>
    <w:p w14:paraId="5FD9908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2.1成立年限满1年及以上的投标人，提供经审计的招标文件规定的年度财务报告。</w:t>
      </w:r>
    </w:p>
    <w:p w14:paraId="5D7B28D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2.2成立年限满半年但不足1年的投标人，提供该半年度中任一季度的季度财务报告或该半年度的半年度财务报告。</w:t>
      </w:r>
    </w:p>
    <w:p w14:paraId="25DD153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14:paraId="474DEBD3">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5EC61A8D">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00BFF82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235790F">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依法缴纳税收证明材料</w:t>
      </w:r>
    </w:p>
    <w:p w14:paraId="44B9683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01AABB3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1、依法缴纳税收的投标人</w:t>
      </w:r>
    </w:p>
    <w:p w14:paraId="7FFC846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）法人（包括企业、事业单位和社会团体）的</w:t>
      </w:r>
    </w:p>
    <w:p w14:paraId="145D1F9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现附上自</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至</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期间我方缴纳（包括但不限于税务机关出具的专用收据、税收缴纳证明或税收代缴银行的缴款收讫凭证）等税收凭据复印件，上述证明材料真实有效，否则我方负全部责任。</w:t>
      </w:r>
    </w:p>
    <w:p w14:paraId="531A8D9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）非法人（包括其他组织、自然人）的</w:t>
      </w:r>
    </w:p>
    <w:p w14:paraId="00D470E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现附上自</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至</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期间我方缴纳（包括但不限于税务机关出具的专用收据、税收缴纳证明或税收代缴银行的缴款收讫凭证）等税收凭据复印件，上述证明材料真实有效，否则我方负全部责任。</w:t>
      </w:r>
    </w:p>
    <w:p w14:paraId="3F53BF7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2、依法免税的投标人</w:t>
      </w:r>
    </w:p>
    <w:p w14:paraId="1C383AF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）现附上我方依法免税的证明材料复印件，上述证明材料真实有效，否则我方负全部责任。</w:t>
      </w:r>
    </w:p>
    <w:p w14:paraId="115286A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699F3F9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1、请投标人按照实际情况编制填写，在相应的（）中打“√”，并按照本格式的要求提供相应证明材料的复印件。</w:t>
      </w:r>
    </w:p>
    <w:p w14:paraId="1513788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2、投标人提供的税收缴纳凭据复印件应符合下列规定：</w:t>
      </w:r>
    </w:p>
    <w:p w14:paraId="579165C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2.1投标截止时间前（不含投标截止时间的当月）已依法缴纳税收的投标人，提供投标截止时间前六个月（不含投标截止时间的当月）中任一月份的税收缴纳凭据复印件。</w:t>
      </w:r>
    </w:p>
    <w:p w14:paraId="668FA0B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2.2投标截止时间的当月成立的投标人，视同满足本项资格条件要求。</w:t>
      </w:r>
    </w:p>
    <w:p w14:paraId="7E6DBBE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3、若为依法免税范围的投标人，提供依法免税证明材料的，视同满足本项资格条件要求。</w:t>
      </w:r>
    </w:p>
    <w:p w14:paraId="02A9B23D">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7A947956">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4FF3761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0E5DE56">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依法缴纳社会保障资金证明材料</w:t>
      </w:r>
    </w:p>
    <w:p w14:paraId="78632B0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7BFBEB1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1、依法缴纳社会保障资金的投标人</w:t>
      </w:r>
    </w:p>
    <w:p w14:paraId="255052E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）法人（包括企业、事业单位和社会团体）的</w:t>
      </w:r>
    </w:p>
    <w:p w14:paraId="73AE319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现附上自</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至</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我方缴纳的社会保险凭据（限：税务机关/社会保障资金管理机关的专用收据或社会保险缴纳清单，或社会保险的银行缴款收讫凭证）复印件，上述证明材料真实有效，否则我方负全部责任。</w:t>
      </w:r>
    </w:p>
    <w:p w14:paraId="63320A9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）非法人（包括其他组织、自然人）的</w:t>
      </w:r>
    </w:p>
    <w:p w14:paraId="17C6FD6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自</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至</w:t>
      </w:r>
      <w:r>
        <w:rPr>
          <w:rFonts w:hint="eastAsia" w:ascii="仿宋" w:hAnsi="仿宋" w:eastAsia="仿宋" w:cs="仿宋"/>
          <w:sz w:val="24"/>
          <w:szCs w:val="24"/>
          <w:highlight w:val="none"/>
          <w:u w:val="single"/>
        </w:rPr>
        <w:t>　　年　　月　　日</w:t>
      </w:r>
      <w:r>
        <w:rPr>
          <w:rFonts w:hint="eastAsia" w:ascii="仿宋" w:hAnsi="仿宋" w:eastAsia="仿宋" w:cs="仿宋"/>
          <w:sz w:val="24"/>
          <w:szCs w:val="24"/>
          <w:highlight w:val="none"/>
        </w:rPr>
        <w:t>我方缴纳的社会保险凭据（限：税务机关/社会保障资金管理机关的专用收据或社会保险缴纳清单，或社会保险的银行缴款收讫凭证）复印件，上述证明材料真实有效，否则我方负全部责任。</w:t>
      </w:r>
    </w:p>
    <w:p w14:paraId="370D4E4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2、依法不需要缴纳或暂缓缴纳社会保障资金的投标人</w:t>
      </w:r>
    </w:p>
    <w:p w14:paraId="2BDE5C5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）现附上我方依法不需要缴纳或暂缓缴纳社会保障资金证明材料复印件，上述证明材料真实有效，否则我方负全部责任。</w:t>
      </w:r>
    </w:p>
    <w:p w14:paraId="71D7AF1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4BA67E5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1、请投标人按照实际情况编制填写，在相应的（）中打“√”，并按照本格式的要求提供相应证明材料的复印件。</w:t>
      </w:r>
    </w:p>
    <w:p w14:paraId="6C19037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2、投标人提供的社会保障资金缴纳凭据复印件应符合下列规定：</w:t>
      </w:r>
    </w:p>
    <w:p w14:paraId="39F61B9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2.1投标截止时间前（不含投标截止时间的当月）已依法缴纳社会保障资金的投标人，提供投标截止时间前六个月（不含投标截止时间的当月）中任一月份的社会保障资金缴纳凭据复印件。</w:t>
      </w:r>
    </w:p>
    <w:p w14:paraId="7A6D99E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2.2投标截止时间的当月成立的投标人，视同满足本项资格条件要求。</w:t>
      </w:r>
    </w:p>
    <w:p w14:paraId="2D32907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3、若为依法不需要缴纳或暂缓缴纳社会保障资金的投标人，提供依法不需要缴纳或暂缓缴纳社会保障资金证明材料的，视同满足本项资格条件要求。</w:t>
      </w:r>
    </w:p>
    <w:p w14:paraId="150082EA">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44A62E83">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1AFFE2D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50FDA872">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具备履行合同所必需设备和专业技术能力的声明函（若有）</w:t>
      </w:r>
    </w:p>
    <w:p w14:paraId="1FB4352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5D8A3B1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我方具备履行合同所必需的设备和专业技术能力，否则产生不利后果由我方承担责任。</w:t>
      </w:r>
    </w:p>
    <w:p w14:paraId="79CEE028">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4024E9C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75E1412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1、招标文件未要求投标人提供“具备履行合同所必需的设备和专业技术能力专项证明材料”的，投标人应提供本声明函。</w:t>
      </w:r>
    </w:p>
    <w:p w14:paraId="12D4BB3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2、招标文件要求投标人提供“具备履行合同所必需的设备和专业技术能力专项证明材料”的，投标人可不提供本声明函。</w:t>
      </w:r>
    </w:p>
    <w:p w14:paraId="2A58968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3、请投标人根据实际情况如实声明，否则视为提供虚假材料。</w:t>
      </w:r>
    </w:p>
    <w:p w14:paraId="25596D2E">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375B68E8">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33E5D5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2048FF59">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参加采购活动前三年内在经营活动中没有重大违法记录书面声明</w:t>
      </w:r>
    </w:p>
    <w:p w14:paraId="5438B03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3B4AB04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参加采购活动前三年内，我方在经营活动中没有重大违法记录，即没有因违法经营受到刑事处罚或责令停产停业、吊销许可证或执照、较大数额罚款等行政处罚。否则产生不利后果由我方承担责任。</w:t>
      </w:r>
    </w:p>
    <w:p w14:paraId="0B394A82">
      <w:pPr>
        <w:pStyle w:val="7"/>
        <w:ind w:firstLine="96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56303A7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732B95C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4517D5D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请投标人根据实际情况如实声明，否则视为提供虚假材料。</w:t>
      </w:r>
    </w:p>
    <w:p w14:paraId="47A5773B">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182A41D5">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417B576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4EC084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二-3信用记录查询提示</w:t>
      </w:r>
    </w:p>
    <w:p w14:paraId="4C89724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1、由资格审查小组通过网站查询并打印投标人的信用记录。</w:t>
      </w:r>
    </w:p>
    <w:p w14:paraId="2D795F6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14:paraId="6A9E1D9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14:paraId="0E59C8A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52BA340">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二-4中小企业声明函</w:t>
      </w:r>
    </w:p>
    <w:p w14:paraId="518AECEC">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（以资格条件落实中小企业扶持政策时适用，若有）</w:t>
      </w:r>
    </w:p>
    <w:p w14:paraId="40910B1B">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中小企业声明函（货物）</w:t>
      </w:r>
    </w:p>
    <w:p w14:paraId="49CC631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本公司（联合体）郑重声明，根据《政府采购促进中小企业发展管理办法》（财库﹝2020﹞46 号）的规定，本公司（联合体）参加</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采购活动，提供的货物全部由符合政策要求的中小企业制造。相关企业（含联合体中的中小企业、签订分包意向协议的中小企业）的具体情况如下：</w:t>
      </w:r>
    </w:p>
    <w:p w14:paraId="04E65DD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 xml:space="preserve"> （标的名称） </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行业；制造商为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万元¹，属于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54A3D81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（标的名称） </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行业；制造商为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15223C9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438B409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以上企业，不属于大企业的分支机构，不存在控股股东为大企业的情形，也不存在与大企业的负责人为同一人的情形。</w:t>
      </w:r>
    </w:p>
    <w:p w14:paraId="70E98A2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本企业对上述声明内容的真实性负责。如有虚假，将依法承担相应责任。</w:t>
      </w:r>
    </w:p>
    <w:p w14:paraId="1B54C24A">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0D27A351">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1F68497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577BE6B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1、从业人员、营业收入、资产总额填报上一年度数据，无上一年度数据的新成立企业可不填报。</w:t>
      </w:r>
    </w:p>
    <w:p w14:paraId="2BDFD12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47106A2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F2FEA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715C5C0">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中小企业声明函（工程、服务）</w:t>
      </w:r>
    </w:p>
    <w:p w14:paraId="4652310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本公司（联合体）郑重声明，根据《政府采购促进中小企业发展管理办法》（财库﹝2020﹞46 号）的规定，本公司（联合体）参加</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21E407D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；承建（承接）企业为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万元¹，属于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06E1AA9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；承建（承接）企业为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53E91EA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5B638E3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以上企业，不属于大企业的分支机构，不存在控股股东为大企业的情形，也不存在与大企业的负责人为同一人的情形。</w:t>
      </w:r>
    </w:p>
    <w:p w14:paraId="55C9348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本企业对上述声明内容的真实性负责。如有虚假，将依法承担相应责任。</w:t>
      </w:r>
    </w:p>
    <w:p w14:paraId="0DC88BB2">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79D5EAA1">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26C8594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70C0927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1、从业人员、营业收入、资产总额填报上一年度数据，无上一年度数据的新成立企业可不填报。</w:t>
      </w:r>
    </w:p>
    <w:p w14:paraId="1BE3441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33DBD43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492FCB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780E93C">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残疾人福利性单位声明函</w:t>
      </w:r>
    </w:p>
    <w:p w14:paraId="3CBC6B83">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（以资格条件落实中小企业扶持政策时适用，若有）</w:t>
      </w:r>
    </w:p>
    <w:p w14:paraId="03D5879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6413139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B70018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）由本投标人承建的（填写“所投采购包、品目号”）工程</w:t>
      </w:r>
    </w:p>
    <w:p w14:paraId="1C749E5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）由本投标人承接的（填写“所投采购包、品目号”）服务；</w:t>
      </w:r>
    </w:p>
    <w:p w14:paraId="3D5B320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本投标人对上述声明的真实性负责。如有虚假，将依法承担相应责任。</w:t>
      </w:r>
    </w:p>
    <w:p w14:paraId="37C39C8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p w14:paraId="5BCDBBC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1、请投标人按照实际情况编制填写本声明函，并在相应的（）中打“√”。</w:t>
      </w:r>
    </w:p>
    <w:p w14:paraId="3BEB512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2、若《残疾人福利性单位声明函》内容不真实，视为提供虚假材料。</w:t>
      </w:r>
    </w:p>
    <w:p w14:paraId="66901321">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5B6BBC63">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0569F6F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w:t>
      </w:r>
    </w:p>
    <w:p w14:paraId="21AD76E3">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监狱企业证明材料</w:t>
      </w:r>
    </w:p>
    <w:p w14:paraId="1C45010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投标人为监狱企业，提供本单位制造的货物（承接的服务），并在电子投标文件中提供省级以上监狱管理局、戒毒管理局（含新疆生产建设兵团）出具的属于监狱企业的证明文件。</w:t>
      </w:r>
    </w:p>
    <w:p w14:paraId="412DBC6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75F5CF6">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二-5联合体协议（若有）</w:t>
      </w:r>
    </w:p>
    <w:p w14:paraId="7405B5D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u w:val="single"/>
        </w:rPr>
        <w:t>（采购人或采购代理机构）</w:t>
      </w:r>
    </w:p>
    <w:p w14:paraId="519A413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兹有</w:t>
      </w:r>
      <w:r>
        <w:rPr>
          <w:rFonts w:hint="eastAsia" w:ascii="仿宋" w:hAnsi="仿宋" w:eastAsia="仿宋" w:cs="仿宋"/>
          <w:sz w:val="24"/>
          <w:szCs w:val="24"/>
          <w:highlight w:val="none"/>
          <w:u w:val="single"/>
        </w:rPr>
        <w:t>（填写“联合体中各方的全称”，各方的全称之间请用“、”分割）</w:t>
      </w:r>
      <w:r>
        <w:rPr>
          <w:rFonts w:hint="eastAsia" w:ascii="仿宋" w:hAnsi="仿宋" w:eastAsia="仿宋" w:cs="仿宋"/>
          <w:sz w:val="24"/>
          <w:szCs w:val="24"/>
          <w:highlight w:val="none"/>
        </w:rPr>
        <w:t>自愿组成联合体，共同参加</w:t>
      </w:r>
      <w:r>
        <w:rPr>
          <w:rFonts w:hint="eastAsia" w:ascii="仿宋" w:hAnsi="仿宋" w:eastAsia="仿宋" w:cs="仿宋"/>
          <w:sz w:val="24"/>
          <w:szCs w:val="24"/>
          <w:highlight w:val="none"/>
          <w:u w:val="single"/>
        </w:rPr>
        <w:t>（填写“项目名称”）</w:t>
      </w:r>
      <w:r>
        <w:rPr>
          <w:rFonts w:hint="eastAsia" w:ascii="仿宋" w:hAnsi="仿宋" w:eastAsia="仿宋" w:cs="仿宋"/>
          <w:sz w:val="24"/>
          <w:szCs w:val="24"/>
          <w:highlight w:val="none"/>
        </w:rPr>
        <w:t xml:space="preserve"> 项目（项目编号：</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）的投标。现就联合体参加本项目投标的有关事宜达成下列协议：</w:t>
      </w:r>
    </w:p>
    <w:p w14:paraId="33EF837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一、联合体各方应承担的工作和义务具体如下：</w:t>
      </w:r>
    </w:p>
    <w:p w14:paraId="36921BD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1、牵头方（全称）：</w:t>
      </w:r>
      <w:r>
        <w:rPr>
          <w:rFonts w:hint="eastAsia" w:ascii="仿宋" w:hAnsi="仿宋" w:eastAsia="仿宋" w:cs="仿宋"/>
          <w:sz w:val="24"/>
          <w:szCs w:val="24"/>
          <w:highlight w:val="none"/>
          <w:u w:val="single"/>
        </w:rPr>
        <w:t xml:space="preserve">（填写“工作及义务的具体内容”） </w:t>
      </w:r>
      <w:r>
        <w:rPr>
          <w:rFonts w:hint="eastAsia" w:ascii="仿宋" w:hAnsi="仿宋" w:eastAsia="仿宋" w:cs="仿宋"/>
          <w:sz w:val="24"/>
          <w:szCs w:val="24"/>
          <w:highlight w:val="none"/>
        </w:rPr>
        <w:t>；</w:t>
      </w:r>
    </w:p>
    <w:p w14:paraId="0A6A606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2、成员方：</w:t>
      </w:r>
    </w:p>
    <w:p w14:paraId="2DA18D6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2.1（成员一的全称）：</w:t>
      </w:r>
      <w:r>
        <w:rPr>
          <w:rFonts w:hint="eastAsia" w:ascii="仿宋" w:hAnsi="仿宋" w:eastAsia="仿宋" w:cs="仿宋"/>
          <w:sz w:val="24"/>
          <w:szCs w:val="24"/>
          <w:highlight w:val="none"/>
          <w:u w:val="single"/>
        </w:rPr>
        <w:t>（填写“工作及义务的具体内容”）</w:t>
      </w:r>
      <w:r>
        <w:rPr>
          <w:rFonts w:hint="eastAsia" w:ascii="仿宋" w:hAnsi="仿宋" w:eastAsia="仿宋" w:cs="仿宋"/>
          <w:sz w:val="24"/>
          <w:szCs w:val="24"/>
          <w:highlight w:val="none"/>
        </w:rPr>
        <w:t xml:space="preserve"> ；</w:t>
      </w:r>
    </w:p>
    <w:p w14:paraId="1C601F9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66184C8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二、联合体各方的合同金额占比，具体如下：</w:t>
      </w:r>
    </w:p>
    <w:p w14:paraId="2106366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1.牵头方（</w:t>
      </w:r>
      <w:r>
        <w:rPr>
          <w:rFonts w:hint="eastAsia" w:ascii="仿宋" w:hAnsi="仿宋" w:eastAsia="仿宋" w:cs="仿宋"/>
          <w:sz w:val="24"/>
          <w:szCs w:val="24"/>
          <w:highlight w:val="none"/>
          <w:u w:val="single"/>
        </w:rPr>
        <w:t xml:space="preserve"> 全称</w:t>
      </w:r>
      <w:r>
        <w:rPr>
          <w:rFonts w:hint="eastAsia" w:ascii="仿宋" w:hAnsi="仿宋" w:eastAsia="仿宋" w:cs="仿宋"/>
          <w:sz w:val="24"/>
          <w:szCs w:val="24"/>
          <w:highlight w:val="none"/>
        </w:rPr>
        <w:t xml:space="preserve"> ）的合同金额占合同总额的</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w:t>
      </w:r>
    </w:p>
    <w:p w14:paraId="3DDA89D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2.成员方：</w:t>
      </w:r>
    </w:p>
    <w:p w14:paraId="6362F22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2.1（</w:t>
      </w:r>
      <w:r>
        <w:rPr>
          <w:rFonts w:hint="eastAsia" w:ascii="仿宋" w:hAnsi="仿宋" w:eastAsia="仿宋" w:cs="仿宋"/>
          <w:sz w:val="24"/>
          <w:szCs w:val="24"/>
          <w:highlight w:val="none"/>
          <w:u w:val="single"/>
        </w:rPr>
        <w:t xml:space="preserve"> 成员1的全称 </w:t>
      </w:r>
      <w:r>
        <w:rPr>
          <w:rFonts w:hint="eastAsia" w:ascii="仿宋" w:hAnsi="仿宋" w:eastAsia="仿宋" w:cs="仿宋"/>
          <w:sz w:val="24"/>
          <w:szCs w:val="24"/>
          <w:highlight w:val="none"/>
        </w:rPr>
        <w:t>）的合同金额占合同总额的</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w:t>
      </w:r>
    </w:p>
    <w:p w14:paraId="756972C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69C3C60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三、联合体各方约定：</w:t>
      </w:r>
    </w:p>
    <w:p w14:paraId="53E2C0A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1、由</w:t>
      </w:r>
      <w:r>
        <w:rPr>
          <w:rFonts w:hint="eastAsia" w:ascii="仿宋" w:hAnsi="仿宋" w:eastAsia="仿宋" w:cs="仿宋"/>
          <w:sz w:val="24"/>
          <w:szCs w:val="24"/>
          <w:highlight w:val="none"/>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14:paraId="18715CC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2、联合体各方约定由</w:t>
      </w:r>
      <w:r>
        <w:rPr>
          <w:rFonts w:hint="eastAsia" w:ascii="仿宋" w:hAnsi="仿宋" w:eastAsia="仿宋" w:cs="仿宋"/>
          <w:sz w:val="24"/>
          <w:szCs w:val="24"/>
          <w:highlight w:val="none"/>
          <w:u w:val="single"/>
        </w:rPr>
        <w:t>（填写“牵头方的全称”）代表联合体办理投标保证金事宜。</w:t>
      </w:r>
    </w:p>
    <w:p w14:paraId="3C7D3AE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14:paraId="670A38B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四、若中标，牵头方将代表联合体与采购人就合同签订事宜进行协商；若协商一致，则联合体各方将共同与采购人签订政府采购合同，并就政府采购合同约定的事项对采购人承担连带责任。</w:t>
      </w:r>
    </w:p>
    <w:p w14:paraId="6226C6F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五、本协议自签署之日起生效，政府采购合同履行完毕后自动失效。</w:t>
      </w:r>
    </w:p>
    <w:p w14:paraId="729A4E4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六、本协议一式</w:t>
      </w:r>
      <w:r>
        <w:rPr>
          <w:rFonts w:hint="eastAsia" w:ascii="仿宋" w:hAnsi="仿宋" w:eastAsia="仿宋" w:cs="仿宋"/>
          <w:sz w:val="24"/>
          <w:szCs w:val="24"/>
          <w:highlight w:val="none"/>
          <w:u w:val="single"/>
        </w:rPr>
        <w:t>（填写具体份数）</w:t>
      </w:r>
      <w:r>
        <w:rPr>
          <w:rFonts w:hint="eastAsia" w:ascii="仿宋" w:hAnsi="仿宋" w:eastAsia="仿宋" w:cs="仿宋"/>
          <w:sz w:val="24"/>
          <w:szCs w:val="24"/>
          <w:highlight w:val="none"/>
        </w:rPr>
        <w:t>份，联合体各方各执一份，电子投标文件中提交一份。</w:t>
      </w:r>
    </w:p>
    <w:p w14:paraId="3DC676B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7925D6B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牵头方：</w:t>
      </w:r>
      <w:r>
        <w:rPr>
          <w:rFonts w:hint="eastAsia" w:ascii="仿宋" w:hAnsi="仿宋" w:eastAsia="仿宋" w:cs="仿宋"/>
          <w:sz w:val="24"/>
          <w:szCs w:val="24"/>
          <w:highlight w:val="none"/>
          <w:u w:val="single"/>
        </w:rPr>
        <w:t>（全称并加盖单位公章）</w:t>
      </w:r>
    </w:p>
    <w:p w14:paraId="30BF256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（签字或盖章）</w:t>
      </w:r>
    </w:p>
    <w:p w14:paraId="25956C6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成员一：</w:t>
      </w:r>
      <w:r>
        <w:rPr>
          <w:rFonts w:hint="eastAsia" w:ascii="仿宋" w:hAnsi="仿宋" w:eastAsia="仿宋" w:cs="仿宋"/>
          <w:sz w:val="24"/>
          <w:szCs w:val="24"/>
          <w:highlight w:val="none"/>
          <w:u w:val="single"/>
        </w:rPr>
        <w:t>（全称并加盖成员一的单位公章）</w:t>
      </w:r>
    </w:p>
    <w:p w14:paraId="7B84C5A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（签字或盖章）</w:t>
      </w:r>
    </w:p>
    <w:p w14:paraId="2F16A88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0A5E75D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成员**：</w:t>
      </w:r>
      <w:r>
        <w:rPr>
          <w:rFonts w:hint="eastAsia" w:ascii="仿宋" w:hAnsi="仿宋" w:eastAsia="仿宋" w:cs="仿宋"/>
          <w:sz w:val="24"/>
          <w:szCs w:val="24"/>
          <w:highlight w:val="none"/>
          <w:u w:val="single"/>
        </w:rPr>
        <w:t>（全称并加盖成员**的单位公章）</w:t>
      </w:r>
    </w:p>
    <w:p w14:paraId="415796B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法定代表人或其委托代理人：</w:t>
      </w:r>
      <w:r>
        <w:rPr>
          <w:rFonts w:hint="eastAsia" w:ascii="仿宋" w:hAnsi="仿宋" w:eastAsia="仿宋" w:cs="仿宋"/>
          <w:sz w:val="24"/>
          <w:szCs w:val="24"/>
          <w:highlight w:val="none"/>
          <w:u w:val="single"/>
        </w:rPr>
        <w:t xml:space="preserve"> （签字或盖章）</w:t>
      </w:r>
    </w:p>
    <w:p w14:paraId="3879D39F">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签署日期：</w:t>
      </w:r>
      <w:r>
        <w:rPr>
          <w:rFonts w:hint="eastAsia" w:ascii="仿宋" w:hAnsi="仿宋" w:eastAsia="仿宋" w:cs="仿宋"/>
          <w:sz w:val="24"/>
          <w:szCs w:val="24"/>
          <w:highlight w:val="none"/>
          <w:u w:val="single"/>
        </w:rPr>
        <w:t>　　年　　月　　日</w:t>
      </w:r>
    </w:p>
    <w:p w14:paraId="35024E3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2F07CC2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1、招标文件接受联合体投标且投标人为联合体的，投标人应提供本协议；否则无须提供。</w:t>
      </w:r>
    </w:p>
    <w:p w14:paraId="181DE99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2、本协议由委托代理人签字或盖章的，应按照本章载明的格式提供“单位授权书”。</w:t>
      </w:r>
    </w:p>
    <w:p w14:paraId="02B54ED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3、在以联合体形式落实中小企业预留份额项目中，投标人除了要提供《中小企业声明函》，还需提供本协议。</w:t>
      </w:r>
    </w:p>
    <w:p w14:paraId="470A7C7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27D9AD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二-6分包意向协议（若有）</w:t>
      </w:r>
    </w:p>
    <w:p w14:paraId="0153F6E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甲方（总包方）：</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（即本项目的投标人）</w:t>
      </w:r>
    </w:p>
    <w:p w14:paraId="0B95530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乙方（分包方）：</w:t>
      </w:r>
      <w:r>
        <w:rPr>
          <w:rFonts w:hint="eastAsia" w:ascii="仿宋" w:hAnsi="仿宋" w:eastAsia="仿宋" w:cs="仿宋"/>
          <w:sz w:val="24"/>
          <w:szCs w:val="24"/>
          <w:highlight w:val="none"/>
          <w:u w:val="single"/>
        </w:rPr>
        <w:t>　　　　　　　</w:t>
      </w:r>
    </w:p>
    <w:p w14:paraId="514EDB6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兹有甲方参加</w:t>
      </w:r>
      <w:r>
        <w:rPr>
          <w:rFonts w:hint="eastAsia" w:ascii="仿宋" w:hAnsi="仿宋" w:eastAsia="仿宋" w:cs="仿宋"/>
          <w:sz w:val="24"/>
          <w:szCs w:val="24"/>
          <w:highlight w:val="none"/>
          <w:u w:val="single"/>
        </w:rPr>
        <w:t>（填写“项目名称”）</w:t>
      </w:r>
      <w:r>
        <w:rPr>
          <w:rFonts w:hint="eastAsia" w:ascii="仿宋" w:hAnsi="仿宋" w:eastAsia="仿宋" w:cs="仿宋"/>
          <w:sz w:val="24"/>
          <w:szCs w:val="24"/>
          <w:highlight w:val="none"/>
        </w:rPr>
        <w:t xml:space="preserve"> 项目（项目编号：</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）的政府采购活动。甲方期望将采购项目的部分采购标的分包给乙方完成，而乙方保证能够向甲方提供本协议项下的采购标的，甲、乙双方就合同分包的有关事宜达成下列协议：</w:t>
      </w:r>
    </w:p>
    <w:p w14:paraId="772927A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一、分包标的</w:t>
      </w:r>
    </w:p>
    <w:p w14:paraId="3082B8C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（根据双方的意向填写，可以是表格或文字描述）。</w:t>
      </w:r>
    </w:p>
    <w:p w14:paraId="2C843B7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二、分包合同金额占比</w:t>
      </w:r>
    </w:p>
    <w:p w14:paraId="4452F72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分包合同价占投标总价的比例：</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w:t>
      </w:r>
    </w:p>
    <w:p w14:paraId="3081F2C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三、其他条款</w:t>
      </w:r>
    </w:p>
    <w:p w14:paraId="56F8FC0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08017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073D94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4153" w:type="dxa"/>
          </w:tcPr>
          <w:p w14:paraId="01FBB7A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71117C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AA0F7D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住所：</w:t>
            </w:r>
          </w:p>
        </w:tc>
        <w:tc>
          <w:tcPr>
            <w:tcW w:w="4153" w:type="dxa"/>
          </w:tcPr>
          <w:p w14:paraId="20BFE6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住所：</w:t>
            </w:r>
          </w:p>
        </w:tc>
      </w:tr>
      <w:tr w14:paraId="2AA34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BF723C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单位负责人或委托代理人：</w:t>
            </w:r>
          </w:p>
        </w:tc>
        <w:tc>
          <w:tcPr>
            <w:tcW w:w="4153" w:type="dxa"/>
          </w:tcPr>
          <w:p w14:paraId="5450AB8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单位负责人或委托代理人：</w:t>
            </w:r>
          </w:p>
        </w:tc>
      </w:tr>
      <w:tr w14:paraId="7F8CD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674684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联系方法：</w:t>
            </w:r>
          </w:p>
        </w:tc>
        <w:tc>
          <w:tcPr>
            <w:tcW w:w="4153" w:type="dxa"/>
          </w:tcPr>
          <w:p w14:paraId="31F71F7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联系方法：</w:t>
            </w:r>
          </w:p>
        </w:tc>
      </w:tr>
      <w:tr w14:paraId="700A87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D9814A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c>
          <w:tcPr>
            <w:tcW w:w="4153" w:type="dxa"/>
          </w:tcPr>
          <w:p w14:paraId="55FACE7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p>
        </w:tc>
      </w:tr>
      <w:tr w14:paraId="05D011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BD6014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4153" w:type="dxa"/>
          </w:tcPr>
          <w:p w14:paraId="075D9A3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r>
      <w:tr w14:paraId="775A2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2"/>
          </w:tcPr>
          <w:p w14:paraId="43315D92">
            <w:pPr>
              <w:pStyle w:val="7"/>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签订地点：</w:t>
            </w:r>
            <w:r>
              <w:rPr>
                <w:rFonts w:hint="eastAsia" w:ascii="仿宋" w:hAnsi="仿宋" w:eastAsia="仿宋" w:cs="仿宋"/>
                <w:sz w:val="24"/>
                <w:szCs w:val="24"/>
                <w:highlight w:val="none"/>
                <w:u w:val="single"/>
              </w:rPr>
              <w:t>　　　　　　　　　　</w:t>
            </w:r>
          </w:p>
          <w:p w14:paraId="2AE97A2A">
            <w:pPr>
              <w:pStyle w:val="7"/>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签约日期：</w:t>
            </w:r>
            <w:r>
              <w:rPr>
                <w:rFonts w:hint="eastAsia" w:ascii="仿宋" w:hAnsi="仿宋" w:eastAsia="仿宋" w:cs="仿宋"/>
                <w:sz w:val="24"/>
                <w:szCs w:val="24"/>
                <w:highlight w:val="none"/>
                <w:u w:val="single"/>
              </w:rPr>
              <w:t>　　年　　月　　日</w:t>
            </w:r>
          </w:p>
        </w:tc>
      </w:tr>
    </w:tbl>
    <w:p w14:paraId="5DCC413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2A091A0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1.招标文件接受合同分包且投标人拟将合同分包的，应提供本协议；否则无须提供。</w:t>
      </w:r>
    </w:p>
    <w:p w14:paraId="6153716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2.本协议由委托代理人签字或盖章的，应按照本章载明的格式提供“单位授权书”。</w:t>
      </w:r>
    </w:p>
    <w:p w14:paraId="13C61D8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3.在以合同分包形式落实中小企业预留份额项目中，投标人除了要提供《中小企业声明函》，还需提供本协议。</w:t>
      </w:r>
    </w:p>
    <w:p w14:paraId="79DECB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7A9D5F6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二-7其他资格证明文件（若有）</w:t>
      </w:r>
    </w:p>
    <w:p w14:paraId="611DA08A">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二-7-①招标文件规定的其他资格证明文件（若有）</w:t>
      </w:r>
    </w:p>
    <w:p w14:paraId="79F46A4E">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编制说明</w:t>
      </w:r>
    </w:p>
    <w:p w14:paraId="4D4AAD6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除招标文件另有规定外，招标文件要求提交的除前述资格证明文件外的其他资格证明文件（若有）加盖投标人的单位公章后应在此项下提交。</w:t>
      </w:r>
    </w:p>
    <w:p w14:paraId="3DDCFAF1">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32B15BC9">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三、投标保证金</w:t>
      </w:r>
    </w:p>
    <w:p w14:paraId="2DB860EA">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编制说明</w:t>
      </w:r>
    </w:p>
    <w:p w14:paraId="0F7F91D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1、在此项下提交的“投标保证金”材料可使用转账凭证复印件或从福建省政府采购网上公开信息系统中下载的有关原始页面的打印件。</w:t>
      </w:r>
    </w:p>
    <w:p w14:paraId="5D52776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2、投标保证金是否已提交的认定按照招标文件第三章规定执行。</w:t>
      </w:r>
    </w:p>
    <w:p w14:paraId="33A763CD">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197FC864">
      <w:pPr>
        <w:pStyle w:val="7"/>
        <w:jc w:val="center"/>
        <w:outlineLvl w:val="2"/>
        <w:rPr>
          <w:rFonts w:hint="eastAsia" w:ascii="仿宋" w:hAnsi="仿宋" w:eastAsia="仿宋" w:cs="仿宋"/>
          <w:b/>
          <w:sz w:val="28"/>
          <w:highlight w:val="none"/>
        </w:rPr>
      </w:pPr>
      <w:r>
        <w:rPr>
          <w:rFonts w:hint="eastAsia" w:ascii="仿宋" w:hAnsi="仿宋" w:eastAsia="仿宋" w:cs="仿宋"/>
          <w:b/>
          <w:sz w:val="28"/>
          <w:highlight w:val="none"/>
        </w:rPr>
        <w:t>封面格式(报价部分)</w:t>
      </w:r>
    </w:p>
    <w:p w14:paraId="151B1E53">
      <w:pPr>
        <w:pStyle w:val="7"/>
        <w:jc w:val="center"/>
        <w:outlineLvl w:val="2"/>
        <w:rPr>
          <w:rFonts w:hint="eastAsia" w:ascii="仿宋" w:hAnsi="仿宋" w:eastAsia="仿宋" w:cs="仿宋"/>
          <w:b/>
          <w:sz w:val="28"/>
          <w:highlight w:val="none"/>
        </w:rPr>
      </w:pPr>
    </w:p>
    <w:p w14:paraId="318F20E9">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福建省政府采购投标文件</w:t>
      </w:r>
    </w:p>
    <w:p w14:paraId="1D726CD6">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（报价部分）</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1D0CE14C">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（填写正本或副本）</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289C3649">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（项目名称：（由投标人填写）</w:t>
      </w:r>
    </w:p>
    <w:p w14:paraId="5582035A">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（备案编号：（由投标人填写）</w:t>
      </w:r>
    </w:p>
    <w:p w14:paraId="44F7EB62">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（项目编号：（由投标人填写）</w:t>
      </w:r>
    </w:p>
    <w:p w14:paraId="46FEB7B6">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（所投采购包：（由投标人填写）</w:t>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6C1DCF66">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投标人：（填写“全称”）</w:t>
      </w:r>
    </w:p>
    <w:p w14:paraId="2006FE82">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（由投标人填写）年（由投标人填写）月</w:t>
      </w:r>
    </w:p>
    <w:p w14:paraId="7A299FEC">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231DC974">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索引</w:t>
      </w:r>
    </w:p>
    <w:p w14:paraId="3B0E230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一、开标（报价）一览表</w:t>
      </w:r>
    </w:p>
    <w:p w14:paraId="3DDE7F8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二、投标（响应）报价明细表</w:t>
      </w:r>
    </w:p>
    <w:p w14:paraId="68D0836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三、招标文件规定的价格扣除证明材料（若有）</w:t>
      </w:r>
    </w:p>
    <w:p w14:paraId="7EEB500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0FB3064">
      <w:pPr>
        <w:pStyle w:val="7"/>
        <w:jc w:val="left"/>
        <w:outlineLvl w:val="0"/>
        <w:rPr>
          <w:rFonts w:hint="eastAsia" w:ascii="仿宋" w:hAnsi="仿宋" w:eastAsia="仿宋" w:cs="仿宋"/>
          <w:sz w:val="24"/>
          <w:szCs w:val="24"/>
          <w:highlight w:val="none"/>
        </w:rPr>
      </w:pPr>
      <w:r>
        <w:rPr>
          <w:rFonts w:hint="eastAsia" w:ascii="仿宋" w:hAnsi="仿宋" w:eastAsia="仿宋" w:cs="仿宋"/>
          <w:b/>
          <w:sz w:val="24"/>
          <w:szCs w:val="24"/>
          <w:highlight w:val="none"/>
        </w:rPr>
        <w:t>开标（报价）一览表</w:t>
      </w:r>
    </w:p>
    <w:p w14:paraId="17F6088A">
      <w:pPr>
        <w:pStyle w:val="7"/>
        <w:ind w:right="16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eastAsia="zh-CN"/>
        </w:rPr>
        <w:t xml:space="preserve">  </w:t>
      </w:r>
    </w:p>
    <w:p w14:paraId="267301C0">
      <w:pPr>
        <w:pStyle w:val="7"/>
        <w:spacing w:line="375" w:lineRule="exact"/>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国家心血管医学研究分中心医疗信息化智能化设备采购项目</w:t>
      </w:r>
    </w:p>
    <w:p w14:paraId="51EE3DF7">
      <w:pPr>
        <w:pStyle w:val="7"/>
        <w:spacing w:line="375"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采购包：1(</w:t>
      </w:r>
      <w:r>
        <w:rPr>
          <w:rFonts w:hint="eastAsia" w:ascii="仿宋" w:hAnsi="仿宋" w:eastAsia="仿宋" w:cs="仿宋"/>
          <w:sz w:val="24"/>
          <w:szCs w:val="24"/>
          <w:highlight w:val="none"/>
          <w:lang w:eastAsia="zh-CN"/>
        </w:rPr>
        <w:t>国家心血管医学研究分中心医疗信息化智能化设备采购项目</w:t>
      </w:r>
      <w:r>
        <w:rPr>
          <w:rFonts w:hint="eastAsia" w:ascii="仿宋" w:hAnsi="仿宋" w:eastAsia="仿宋" w:cs="仿宋"/>
          <w:sz w:val="24"/>
          <w:szCs w:val="24"/>
          <w:highlight w:val="none"/>
        </w:rPr>
        <w:t>)</w:t>
      </w:r>
    </w:p>
    <w:p w14:paraId="1A81D8B3">
      <w:pPr>
        <w:pStyle w:val="7"/>
        <w:spacing w:line="375" w:lineRule="exact"/>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p>
    <w:p w14:paraId="4CE17053">
      <w:pPr>
        <w:pStyle w:val="7"/>
        <w:jc w:val="center"/>
        <w:rPr>
          <w:rFonts w:hint="eastAsia" w:ascii="仿宋" w:hAnsi="仿宋" w:eastAsia="仿宋" w:cs="仿宋"/>
          <w:sz w:val="24"/>
          <w:szCs w:val="24"/>
          <w:highlight w:val="none"/>
        </w:rP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2D3A2C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811C93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序号</w:t>
            </w:r>
          </w:p>
        </w:tc>
        <w:tc>
          <w:tcPr>
            <w:tcW w:w="1661" w:type="dxa"/>
          </w:tcPr>
          <w:p w14:paraId="4EF7AE4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报价内容</w:t>
            </w:r>
          </w:p>
        </w:tc>
        <w:tc>
          <w:tcPr>
            <w:tcW w:w="1661" w:type="dxa"/>
          </w:tcPr>
          <w:p w14:paraId="2823593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最高限价</w:t>
            </w:r>
          </w:p>
        </w:tc>
        <w:tc>
          <w:tcPr>
            <w:tcW w:w="1661" w:type="dxa"/>
          </w:tcPr>
          <w:p w14:paraId="1753B35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响应报价</w:t>
            </w:r>
          </w:p>
        </w:tc>
        <w:tc>
          <w:tcPr>
            <w:tcW w:w="1661" w:type="dxa"/>
          </w:tcPr>
          <w:p w14:paraId="221FAFD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价款形式</w:t>
            </w:r>
          </w:p>
        </w:tc>
      </w:tr>
      <w:tr w14:paraId="6523FA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09CBCB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w:t>
            </w:r>
          </w:p>
        </w:tc>
        <w:tc>
          <w:tcPr>
            <w:tcW w:w="1661" w:type="dxa"/>
          </w:tcPr>
          <w:p w14:paraId="4BB8290E">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国家心血管医学研究分中心医疗信息化智能化设备采购项目</w:t>
            </w:r>
          </w:p>
        </w:tc>
        <w:tc>
          <w:tcPr>
            <w:tcW w:w="1661" w:type="dxa"/>
          </w:tcPr>
          <w:p w14:paraId="5DEE2C0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61,900,000</w:t>
            </w:r>
            <w:r>
              <w:rPr>
                <w:rFonts w:hint="eastAsia" w:ascii="仿宋" w:hAnsi="仿宋" w:eastAsia="仿宋" w:cs="仿宋"/>
                <w:sz w:val="24"/>
                <w:szCs w:val="24"/>
                <w:highlight w:val="none"/>
              </w:rPr>
              <w:t xml:space="preserve">  元</w:t>
            </w:r>
          </w:p>
        </w:tc>
        <w:tc>
          <w:tcPr>
            <w:tcW w:w="1661" w:type="dxa"/>
          </w:tcPr>
          <w:p w14:paraId="0DA87BA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「汇总引用」  元</w:t>
            </w:r>
          </w:p>
        </w:tc>
        <w:tc>
          <w:tcPr>
            <w:tcW w:w="1661" w:type="dxa"/>
          </w:tcPr>
          <w:p w14:paraId="0A94087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总价</w:t>
            </w:r>
          </w:p>
        </w:tc>
      </w:tr>
    </w:tbl>
    <w:p w14:paraId="6509595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本项目设有最高限价，本项目最高限价将由厦门市财政审核中心出具，最迟在投标截止时间15个日历日前公布，不足15日的将顺延投标截止时间及开标时间，请投标人关注。投标人的投标报价超出最高限价的，视为无效投标。（招标文件中最高限价要求与本条款不一致的以本条款为准。）</w:t>
      </w:r>
    </w:p>
    <w:p w14:paraId="5453253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时间：     年     月     日</w:t>
      </w:r>
    </w:p>
    <w:p w14:paraId="536984B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签章：                     </w:t>
      </w:r>
    </w:p>
    <w:p w14:paraId="61E25B12">
      <w:pPr>
        <w:pStyle w:val="7"/>
        <w:jc w:val="left"/>
        <w:outlineLvl w:val="0"/>
        <w:rPr>
          <w:rFonts w:hint="eastAsia" w:ascii="仿宋" w:hAnsi="仿宋" w:eastAsia="仿宋" w:cs="仿宋"/>
          <w:sz w:val="24"/>
          <w:szCs w:val="24"/>
          <w:highlight w:val="none"/>
        </w:rPr>
      </w:pPr>
      <w:r>
        <w:rPr>
          <w:rFonts w:hint="eastAsia" w:ascii="仿宋" w:hAnsi="仿宋" w:eastAsia="仿宋" w:cs="仿宋"/>
          <w:b/>
          <w:sz w:val="24"/>
          <w:szCs w:val="24"/>
          <w:highlight w:val="none"/>
        </w:rPr>
        <w:t>投标（响应）报价明细表</w:t>
      </w:r>
    </w:p>
    <w:p w14:paraId="178F104B">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lang w:eastAsia="zh-CN"/>
        </w:rPr>
        <w:t xml:space="preserve">  </w:t>
      </w:r>
    </w:p>
    <w:p w14:paraId="4FD54EF6">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国家心血管医学研究分中心医疗信息化智能化设备采购项目</w:t>
      </w:r>
    </w:p>
    <w:p w14:paraId="34F2B332">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采购包：</w:t>
      </w:r>
      <w:r>
        <w:rPr>
          <w:rFonts w:hint="eastAsia" w:ascii="仿宋" w:hAnsi="仿宋" w:eastAsia="仿宋" w:cs="仿宋"/>
          <w:sz w:val="24"/>
          <w:szCs w:val="24"/>
          <w:highlight w:val="none"/>
          <w:lang w:eastAsia="zh-CN"/>
        </w:rPr>
        <w:t>国家心血管医学研究分中心医疗信息化智能化设备采购项目</w:t>
      </w:r>
    </w:p>
    <w:p w14:paraId="3AAD316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投标人名称：</w:t>
      </w:r>
    </w:p>
    <w:p w14:paraId="0E945B09">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国家心血管医学研究分中心医疗信息化智能化设备采购项目</w:t>
      </w:r>
    </w:p>
    <w:p w14:paraId="62329865">
      <w:pPr>
        <w:pStyle w:val="7"/>
        <w:jc w:val="center"/>
        <w:rPr>
          <w:rFonts w:hint="eastAsia" w:ascii="仿宋" w:hAnsi="仿宋" w:eastAsia="仿宋" w:cs="仿宋"/>
          <w:sz w:val="24"/>
          <w:szCs w:val="24"/>
          <w:highlight w:val="none"/>
        </w:rPr>
      </w:pP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89"/>
        <w:gridCol w:w="489"/>
        <w:gridCol w:w="587"/>
        <w:gridCol w:w="587"/>
        <w:gridCol w:w="588"/>
        <w:gridCol w:w="588"/>
        <w:gridCol w:w="1416"/>
        <w:gridCol w:w="588"/>
        <w:gridCol w:w="936"/>
        <w:gridCol w:w="490"/>
        <w:gridCol w:w="588"/>
        <w:gridCol w:w="588"/>
        <w:gridCol w:w="588"/>
      </w:tblGrid>
      <w:tr w14:paraId="22908A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241F9C0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序号</w:t>
            </w:r>
          </w:p>
        </w:tc>
        <w:tc>
          <w:tcPr>
            <w:tcW w:w="639" w:type="dxa"/>
          </w:tcPr>
          <w:p w14:paraId="49D143C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货物名称</w:t>
            </w:r>
          </w:p>
        </w:tc>
        <w:tc>
          <w:tcPr>
            <w:tcW w:w="639" w:type="dxa"/>
          </w:tcPr>
          <w:p w14:paraId="2A186AF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规格型号</w:t>
            </w:r>
          </w:p>
        </w:tc>
        <w:tc>
          <w:tcPr>
            <w:tcW w:w="639" w:type="dxa"/>
          </w:tcPr>
          <w:p w14:paraId="378C112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品牌</w:t>
            </w:r>
          </w:p>
        </w:tc>
        <w:tc>
          <w:tcPr>
            <w:tcW w:w="639" w:type="dxa"/>
          </w:tcPr>
          <w:p w14:paraId="70DF8BF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制造商名称</w:t>
            </w:r>
          </w:p>
        </w:tc>
        <w:tc>
          <w:tcPr>
            <w:tcW w:w="639" w:type="dxa"/>
          </w:tcPr>
          <w:p w14:paraId="4A877EA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产地</w:t>
            </w:r>
          </w:p>
        </w:tc>
        <w:tc>
          <w:tcPr>
            <w:tcW w:w="639" w:type="dxa"/>
          </w:tcPr>
          <w:p w14:paraId="79E1408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最高限价</w:t>
            </w:r>
          </w:p>
        </w:tc>
        <w:tc>
          <w:tcPr>
            <w:tcW w:w="639" w:type="dxa"/>
          </w:tcPr>
          <w:p w14:paraId="0BF0EF4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单价</w:t>
            </w:r>
          </w:p>
        </w:tc>
        <w:tc>
          <w:tcPr>
            <w:tcW w:w="639" w:type="dxa"/>
          </w:tcPr>
          <w:p w14:paraId="60CC741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数量</w:t>
            </w:r>
          </w:p>
        </w:tc>
        <w:tc>
          <w:tcPr>
            <w:tcW w:w="639" w:type="dxa"/>
          </w:tcPr>
          <w:p w14:paraId="35ACD78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计量单位</w:t>
            </w:r>
          </w:p>
        </w:tc>
        <w:tc>
          <w:tcPr>
            <w:tcW w:w="639" w:type="dxa"/>
          </w:tcPr>
          <w:p w14:paraId="0C99765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总价</w:t>
            </w:r>
          </w:p>
        </w:tc>
        <w:tc>
          <w:tcPr>
            <w:tcW w:w="639" w:type="dxa"/>
          </w:tcPr>
          <w:p w14:paraId="2B36771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是否环境标志产品</w:t>
            </w:r>
          </w:p>
        </w:tc>
        <w:tc>
          <w:tcPr>
            <w:tcW w:w="639" w:type="dxa"/>
          </w:tcPr>
          <w:p w14:paraId="3D73A7A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是否节能产品</w:t>
            </w:r>
          </w:p>
        </w:tc>
      </w:tr>
      <w:tr w14:paraId="6926FA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9" w:type="dxa"/>
          </w:tcPr>
          <w:p w14:paraId="0A1689A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w:t>
            </w:r>
          </w:p>
        </w:tc>
        <w:tc>
          <w:tcPr>
            <w:tcW w:w="639" w:type="dxa"/>
          </w:tcPr>
          <w:p w14:paraId="5D67EDDC">
            <w:pPr>
              <w:pStyle w:val="7"/>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国家心血管医学研究分中心医疗信息化智能化设备采购项目</w:t>
            </w:r>
          </w:p>
        </w:tc>
        <w:tc>
          <w:tcPr>
            <w:tcW w:w="639" w:type="dxa"/>
          </w:tcPr>
          <w:p w14:paraId="5475C96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c>
          <w:tcPr>
            <w:tcW w:w="639" w:type="dxa"/>
          </w:tcPr>
          <w:p w14:paraId="327115E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c>
          <w:tcPr>
            <w:tcW w:w="639" w:type="dxa"/>
          </w:tcPr>
          <w:p w14:paraId="326D808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c>
          <w:tcPr>
            <w:tcW w:w="639" w:type="dxa"/>
          </w:tcPr>
          <w:p w14:paraId="207307B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c>
          <w:tcPr>
            <w:tcW w:w="639" w:type="dxa"/>
          </w:tcPr>
          <w:p w14:paraId="7CB1D05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61,900,000</w:t>
            </w:r>
            <w:r>
              <w:rPr>
                <w:rFonts w:hint="eastAsia" w:ascii="仿宋" w:hAnsi="仿宋" w:eastAsia="仿宋" w:cs="仿宋"/>
                <w:sz w:val="24"/>
                <w:szCs w:val="24"/>
                <w:highlight w:val="none"/>
              </w:rPr>
              <w:t xml:space="preserve">  元</w:t>
            </w:r>
          </w:p>
        </w:tc>
        <w:tc>
          <w:tcPr>
            <w:tcW w:w="639" w:type="dxa"/>
          </w:tcPr>
          <w:p w14:paraId="0794461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{=总价/数量}  元</w:t>
            </w:r>
          </w:p>
        </w:tc>
        <w:tc>
          <w:tcPr>
            <w:tcW w:w="639" w:type="dxa"/>
          </w:tcPr>
          <w:p w14:paraId="39C2FDD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1.0000</w:t>
            </w:r>
          </w:p>
        </w:tc>
        <w:tc>
          <w:tcPr>
            <w:tcW w:w="639" w:type="dxa"/>
          </w:tcPr>
          <w:p w14:paraId="26BA8F3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项</w:t>
            </w:r>
          </w:p>
        </w:tc>
        <w:tc>
          <w:tcPr>
            <w:tcW w:w="639" w:type="dxa"/>
          </w:tcPr>
          <w:p w14:paraId="503C78E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  元</w:t>
            </w:r>
          </w:p>
        </w:tc>
        <w:tc>
          <w:tcPr>
            <w:tcW w:w="639" w:type="dxa"/>
          </w:tcPr>
          <w:p w14:paraId="5AA045C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c>
          <w:tcPr>
            <w:tcW w:w="639" w:type="dxa"/>
          </w:tcPr>
          <w:p w14:paraId="7FDA55C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响应}</w:t>
            </w:r>
          </w:p>
        </w:tc>
      </w:tr>
    </w:tbl>
    <w:p w14:paraId="7CD3F64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p w14:paraId="3B179C5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本项目设有最高限价，本项目最高限价将由厦门市财政审核中心出具，最迟在投标截止时间15个日历日前公布，不足15日的将顺延投标截止时间及开标时间，请投标人关注。投标人的投标报价超出最高限价的，视为无效投标。（招标文件中最高限价要求与本条款不一致的以本条款为准。）</w:t>
      </w:r>
    </w:p>
    <w:p w14:paraId="7143D92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时间：     年     月     日</w:t>
      </w:r>
    </w:p>
    <w:p w14:paraId="1A82A86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签章：                     </w:t>
      </w:r>
    </w:p>
    <w:p w14:paraId="5AE5DF87">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D63DE9D">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三、招标文件规定的价格扣除证明材料（若有）</w:t>
      </w:r>
    </w:p>
    <w:p w14:paraId="294BC7CA">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三-1优先类节能产品、环境标志产品价格扣除证明材料（若有）</w:t>
      </w:r>
    </w:p>
    <w:p w14:paraId="67D6F66C">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三-1-①优先类节能产品、环境标志产品统计表（价格扣除适用，若有）</w:t>
      </w:r>
    </w:p>
    <w:p w14:paraId="3942C08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4748"/>
      </w:tblGrid>
      <w:tr w14:paraId="20F2B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FCEA22E">
            <w:pPr>
              <w:rPr>
                <w:rFonts w:hint="eastAsia" w:ascii="仿宋" w:hAnsi="仿宋" w:eastAsia="仿宋" w:cs="仿宋"/>
                <w:sz w:val="24"/>
                <w:szCs w:val="24"/>
                <w:highlight w:val="none"/>
              </w:rPr>
            </w:pPr>
          </w:p>
        </w:tc>
        <w:tc>
          <w:tcPr>
            <w:tcW w:w="7122" w:type="dxa"/>
            <w:gridSpan w:val="3"/>
          </w:tcPr>
          <w:p w14:paraId="298C70E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本采购包内属于节能、环境标志产品情况</w:t>
            </w:r>
          </w:p>
        </w:tc>
      </w:tr>
      <w:tr w14:paraId="31DB1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6FA43B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w:t>
            </w:r>
          </w:p>
        </w:tc>
        <w:tc>
          <w:tcPr>
            <w:tcW w:w="1187" w:type="dxa"/>
          </w:tcPr>
          <w:p w14:paraId="51DB1BC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187" w:type="dxa"/>
          </w:tcPr>
          <w:p w14:paraId="06DA33A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产品名称</w:t>
            </w:r>
          </w:p>
        </w:tc>
        <w:tc>
          <w:tcPr>
            <w:tcW w:w="4748" w:type="dxa"/>
          </w:tcPr>
          <w:p w14:paraId="363AFB4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认证种类</w:t>
            </w:r>
          </w:p>
        </w:tc>
      </w:tr>
      <w:tr w14:paraId="5B06F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tcPr>
          <w:p w14:paraId="69F3227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187" w:type="dxa"/>
          </w:tcPr>
          <w:p w14:paraId="2ED864C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187" w:type="dxa"/>
          </w:tcPr>
          <w:p w14:paraId="637EB453">
            <w:pPr>
              <w:rPr>
                <w:rFonts w:hint="eastAsia" w:ascii="仿宋" w:hAnsi="仿宋" w:eastAsia="仿宋" w:cs="仿宋"/>
                <w:sz w:val="24"/>
                <w:szCs w:val="24"/>
                <w:highlight w:val="none"/>
              </w:rPr>
            </w:pPr>
          </w:p>
        </w:tc>
        <w:tc>
          <w:tcPr>
            <w:tcW w:w="4748" w:type="dxa"/>
          </w:tcPr>
          <w:p w14:paraId="5D8902E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自行填写种类，并上传证明附件以便评审查看</w:t>
            </w:r>
          </w:p>
        </w:tc>
      </w:tr>
      <w:tr w14:paraId="0B41E7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tcPr>
          <w:p w14:paraId="45B9F2F0">
            <w:pPr>
              <w:rPr>
                <w:rFonts w:hint="eastAsia" w:ascii="仿宋" w:hAnsi="仿宋" w:eastAsia="仿宋" w:cs="仿宋"/>
                <w:sz w:val="24"/>
                <w:szCs w:val="24"/>
                <w:highlight w:val="none"/>
              </w:rPr>
            </w:pPr>
          </w:p>
        </w:tc>
        <w:tc>
          <w:tcPr>
            <w:tcW w:w="1187" w:type="dxa"/>
          </w:tcPr>
          <w:p w14:paraId="7868D89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26FF3975">
            <w:pPr>
              <w:pStyle w:val="7"/>
              <w:jc w:val="left"/>
              <w:rPr>
                <w:rFonts w:hint="eastAsia" w:ascii="仿宋" w:hAnsi="仿宋" w:eastAsia="仿宋" w:cs="仿宋"/>
                <w:sz w:val="24"/>
                <w:szCs w:val="24"/>
                <w:highlight w:val="none"/>
              </w:rPr>
            </w:pPr>
          </w:p>
        </w:tc>
        <w:tc>
          <w:tcPr>
            <w:tcW w:w="1187" w:type="dxa"/>
          </w:tcPr>
          <w:p w14:paraId="6E0EC72F">
            <w:pPr>
              <w:rPr>
                <w:rFonts w:hint="eastAsia" w:ascii="仿宋" w:hAnsi="仿宋" w:eastAsia="仿宋" w:cs="仿宋"/>
                <w:sz w:val="24"/>
                <w:szCs w:val="24"/>
                <w:highlight w:val="none"/>
              </w:rPr>
            </w:pPr>
          </w:p>
        </w:tc>
        <w:tc>
          <w:tcPr>
            <w:tcW w:w="4748" w:type="dxa"/>
          </w:tcPr>
          <w:p w14:paraId="46AD8055">
            <w:pPr>
              <w:rPr>
                <w:rFonts w:hint="eastAsia" w:ascii="仿宋" w:hAnsi="仿宋" w:eastAsia="仿宋" w:cs="仿宋"/>
                <w:sz w:val="24"/>
                <w:szCs w:val="24"/>
                <w:highlight w:val="none"/>
              </w:rPr>
            </w:pPr>
          </w:p>
        </w:tc>
      </w:tr>
      <w:tr w14:paraId="10A1A4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58D61C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7122" w:type="dxa"/>
            <w:gridSpan w:val="3"/>
          </w:tcPr>
          <w:p w14:paraId="78329D40">
            <w:pPr>
              <w:pStyle w:val="7"/>
              <w:jc w:val="left"/>
              <w:rPr>
                <w:rFonts w:hint="eastAsia" w:ascii="仿宋" w:hAnsi="仿宋" w:eastAsia="仿宋" w:cs="仿宋"/>
                <w:sz w:val="24"/>
                <w:szCs w:val="24"/>
                <w:highlight w:val="none"/>
              </w:rPr>
            </w:pPr>
          </w:p>
        </w:tc>
      </w:tr>
    </w:tbl>
    <w:p w14:paraId="68C009CB">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09F5430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1、对节能、环境标志产品计算价格扣除时，只依据电子投标文件“投标（响应）报价明细表”以及“优先类节能产品、环境标志产品证明材料（价格扣除适用，若有）”。</w:t>
      </w:r>
    </w:p>
    <w:p w14:paraId="7C1D49D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2、本表以采购包为单位，不同采购包请分别填写；同一采购包请按照其品目号顺序分别填写。</w:t>
      </w:r>
    </w:p>
    <w:p w14:paraId="1C060DE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3、具体统计、计算：</w:t>
      </w:r>
    </w:p>
    <w:p w14:paraId="11EBE9B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3.1同一品目中各认证证书不重复计算价格扣除。</w:t>
      </w:r>
    </w:p>
    <w:p w14:paraId="5D2875A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3.2计算结果若除不尽，可四舍五入保留到小数点后两位。</w:t>
      </w:r>
    </w:p>
    <w:p w14:paraId="04842BA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3.3投标人(</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)按照采购文件要求认真统计、计算。</w:t>
      </w:r>
    </w:p>
    <w:p w14:paraId="311529B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3.4若无节能、环境标志产品，不填写本表。</w:t>
      </w:r>
    </w:p>
    <w:p w14:paraId="07D9E73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3.5强制类节能产品不享受价格扣除。</w:t>
      </w:r>
    </w:p>
    <w:p w14:paraId="4FAF0409">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5070F1BB">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3BC3DB55">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53C38A6D">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三-1-②优先类节能产品、环境标志产品证明材料（价格扣除适用，若有）</w:t>
      </w:r>
    </w:p>
    <w:p w14:paraId="52418907">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三-2小型、微型企业产品等价格扣除证明材料（若有）</w:t>
      </w:r>
    </w:p>
    <w:p w14:paraId="32799512">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三-2-①中小企业声明函（价格扣除适用，若有）</w:t>
      </w:r>
    </w:p>
    <w:p w14:paraId="6AA6069B">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中小企业声明函（货物）</w:t>
      </w:r>
    </w:p>
    <w:p w14:paraId="48CE132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本公司（联合体）郑重声明，根据《政府采购促进中小企业发展管理办法》（财库﹝2020﹞46 号）的规定，本公司（联合体）参加</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采购活动，提供的货物全部由符合政策要求的中小企业制造。相关企业（含联合体中的中小企业、签订分包意向协议的中小企业）的具体情况如下：</w:t>
      </w:r>
    </w:p>
    <w:p w14:paraId="6AEBC01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 xml:space="preserve"> （标的名称） </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行业；制造商为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w:t>
      </w:r>
      <w:r>
        <w:rPr>
          <w:rFonts w:hint="eastAsia" w:ascii="仿宋" w:hAnsi="仿宋" w:eastAsia="仿宋" w:cs="仿宋"/>
          <w:sz w:val="24"/>
          <w:szCs w:val="24"/>
          <w:highlight w:val="none"/>
          <w:vertAlign w:val="superscript"/>
        </w:rPr>
        <w:t>1</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786E941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（标的名称） </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行业；制造商为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22B037C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4726C4A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以上企业，不属于大企业的分支机构，不存在控股股东为大企业的情形，也不存在与大企业的负责人为同一人的情形。</w:t>
      </w:r>
    </w:p>
    <w:p w14:paraId="21F3CD0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本企业对上述声明内容的真实性负责。如有虚假，将依法承担相应责任。</w:t>
      </w:r>
    </w:p>
    <w:p w14:paraId="2DD89023">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54D914E8">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6C537D6B">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171C1B9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1、从业人员、营业收入、资产总额填报上一年度数据，无上一年度数据的新成立企业可不填报。</w:t>
      </w:r>
    </w:p>
    <w:p w14:paraId="15EEC0F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F64E25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31D6F8D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79CD9AF2">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中小企业声明函（工程、服务）</w:t>
      </w:r>
    </w:p>
    <w:p w14:paraId="3530C20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本公司（联合体）郑重声明，根据《政府采购促进中小企业发展管理办法》（财库﹝2020﹞46 号）的规定，本公司（联合体）参加</w:t>
      </w:r>
      <w:r>
        <w:rPr>
          <w:rFonts w:hint="eastAsia" w:ascii="仿宋" w:hAnsi="仿宋" w:eastAsia="仿宋" w:cs="仿宋"/>
          <w:sz w:val="24"/>
          <w:szCs w:val="24"/>
          <w:highlight w:val="none"/>
          <w:u w:val="single"/>
        </w:rPr>
        <w:t>（单位名称）</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7103FBA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；承建（承接）企业为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w:t>
      </w:r>
      <w:r>
        <w:rPr>
          <w:rFonts w:hint="eastAsia" w:ascii="仿宋" w:hAnsi="仿宋" w:eastAsia="仿宋" w:cs="仿宋"/>
          <w:sz w:val="24"/>
          <w:szCs w:val="24"/>
          <w:highlight w:val="none"/>
          <w:vertAlign w:val="superscript"/>
        </w:rPr>
        <w:t>1</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24683AA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（标的名称）</w:t>
      </w:r>
      <w:r>
        <w:rPr>
          <w:rFonts w:hint="eastAsia" w:ascii="仿宋" w:hAnsi="仿宋" w:eastAsia="仿宋" w:cs="仿宋"/>
          <w:sz w:val="24"/>
          <w:szCs w:val="24"/>
          <w:highlight w:val="none"/>
        </w:rPr>
        <w:t>，属于</w:t>
      </w:r>
      <w:r>
        <w:rPr>
          <w:rFonts w:hint="eastAsia" w:ascii="仿宋" w:hAnsi="仿宋" w:eastAsia="仿宋" w:cs="仿宋"/>
          <w:sz w:val="24"/>
          <w:szCs w:val="24"/>
          <w:highlight w:val="none"/>
          <w:u w:val="single"/>
        </w:rPr>
        <w:t>（采购文件中明确的所属行业）</w:t>
      </w:r>
      <w:r>
        <w:rPr>
          <w:rFonts w:hint="eastAsia" w:ascii="仿宋" w:hAnsi="仿宋" w:eastAsia="仿宋" w:cs="仿宋"/>
          <w:sz w:val="24"/>
          <w:szCs w:val="24"/>
          <w:highlight w:val="none"/>
        </w:rPr>
        <w:t>；承建（承接）企业为</w:t>
      </w:r>
      <w:r>
        <w:rPr>
          <w:rFonts w:hint="eastAsia" w:ascii="仿宋" w:hAnsi="仿宋" w:eastAsia="仿宋" w:cs="仿宋"/>
          <w:sz w:val="24"/>
          <w:szCs w:val="24"/>
          <w:highlight w:val="none"/>
          <w:u w:val="single"/>
        </w:rPr>
        <w:t>（企业名称）</w:t>
      </w:r>
      <w:r>
        <w:rPr>
          <w:rFonts w:hint="eastAsia" w:ascii="仿宋" w:hAnsi="仿宋" w:eastAsia="仿宋" w:cs="仿宋"/>
          <w:sz w:val="24"/>
          <w:szCs w:val="24"/>
          <w:highlight w:val="none"/>
        </w:rPr>
        <w:t>，从业人员</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人，营业收入为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万元，资产总额为</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万元，属于</w:t>
      </w:r>
      <w:r>
        <w:rPr>
          <w:rFonts w:hint="eastAsia" w:ascii="仿宋" w:hAnsi="仿宋" w:eastAsia="仿宋" w:cs="仿宋"/>
          <w:sz w:val="24"/>
          <w:szCs w:val="24"/>
          <w:highlight w:val="none"/>
          <w:u w:val="single"/>
        </w:rPr>
        <w:t>（中型企业、小型企业、微型企业）</w:t>
      </w:r>
      <w:r>
        <w:rPr>
          <w:rFonts w:hint="eastAsia" w:ascii="仿宋" w:hAnsi="仿宋" w:eastAsia="仿宋" w:cs="仿宋"/>
          <w:sz w:val="24"/>
          <w:szCs w:val="24"/>
          <w:highlight w:val="none"/>
        </w:rPr>
        <w:t>；</w:t>
      </w:r>
    </w:p>
    <w:p w14:paraId="22CA9DA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p w14:paraId="546F3B3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以上企业，不属于大企业的分支机构，不存在控股股东为大企业的情形，也不存在与大企业的负责人为同一人的情形。</w:t>
      </w:r>
    </w:p>
    <w:p w14:paraId="2A56BA2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本企业对上述声明内容的真实性负责。如有虚假，将依法承担相应责任。</w:t>
      </w:r>
    </w:p>
    <w:p w14:paraId="45F43C84">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6DF7FFA8">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6A74304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312F72D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1、从业人员、营业收入、资产总额填报上一年度数据，无上一年度数据的新成立企业可不填报。</w:t>
      </w:r>
    </w:p>
    <w:p w14:paraId="726EC382">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F74250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05362DC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3B60E307">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三-2-②小型、微型企业等证明材料（价格扣除适用，若有）</w:t>
      </w:r>
    </w:p>
    <w:p w14:paraId="68BE9208">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编制说明</w:t>
      </w:r>
    </w:p>
    <w:p w14:paraId="59778E0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1、投标人为监狱企业的，根据其提供的由省级以上监狱管理局、戒毒管理局（含新疆生产建设兵团）出具的属于监狱企业的证明文件进行认定，监狱企业视同小型、微型企业。</w:t>
      </w:r>
    </w:p>
    <w:p w14:paraId="0F5067E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2、投标人为残疾人福利性单位的，根据其提供的《残疾人福利性单位声明函》（格式附后）进行认定，残疾人福利性单位视同小型、微型企业。残疾人福利性单位属于小型、微型企业的，不重复享受政策。</w:t>
      </w:r>
    </w:p>
    <w:p w14:paraId="51229A8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w:t>
      </w:r>
    </w:p>
    <w:p w14:paraId="6EC7CBF0">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残疾人福利性单位声明函（价格扣除适用，若有）</w:t>
      </w:r>
    </w:p>
    <w:p w14:paraId="0638C05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24A59A8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03ECF4C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）由本投标人承建的（填写“所投采购包、品目号”）工程</w:t>
      </w:r>
    </w:p>
    <w:p w14:paraId="3D66CDC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）由本投标人承接的（填写“所投采购包、品目号”）服务；</w:t>
      </w:r>
    </w:p>
    <w:p w14:paraId="0145227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本投标人对上述声明的真实性负责。如有虚假，将依法承担相应责任。</w:t>
      </w:r>
    </w:p>
    <w:p w14:paraId="1AF5DB2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p w14:paraId="033EEBD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1、请投标人按照实际情况编制填写本声明函，并在相应的（）中打“√”。</w:t>
      </w:r>
    </w:p>
    <w:p w14:paraId="1C9C3B61">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2、若《残疾人福利性单位声明函》内容不真实，视为提供虚假材料。</w:t>
      </w:r>
    </w:p>
    <w:p w14:paraId="6C94BC07">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507CDCFB">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30FBEDE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BA2543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w:t>
      </w:r>
    </w:p>
    <w:p w14:paraId="404F28C0">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监狱企业证明材料</w:t>
      </w:r>
    </w:p>
    <w:p w14:paraId="0427F13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投标人为监狱企业，提供本单位制造的货物（承接的服务），并在电子投标文件中提供省级以上监狱管理局、戒毒管理局（含新疆生产建设兵团）出具的属于监狱企业的证明文件。</w:t>
      </w:r>
    </w:p>
    <w:p w14:paraId="4A057E3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7674F7E6">
      <w:pPr>
        <w:pStyle w:val="7"/>
        <w:jc w:val="center"/>
        <w:outlineLvl w:val="3"/>
        <w:rPr>
          <w:rFonts w:hint="eastAsia" w:ascii="仿宋" w:hAnsi="仿宋" w:eastAsia="仿宋" w:cs="仿宋"/>
          <w:sz w:val="24"/>
          <w:szCs w:val="24"/>
          <w:highlight w:val="none"/>
        </w:rPr>
      </w:pPr>
      <w:r>
        <w:rPr>
          <w:rFonts w:hint="eastAsia" w:ascii="仿宋" w:hAnsi="仿宋" w:eastAsia="仿宋" w:cs="仿宋"/>
          <w:b/>
          <w:sz w:val="24"/>
          <w:szCs w:val="24"/>
          <w:highlight w:val="none"/>
        </w:rPr>
        <w:t>三-3招标文件规定的其他价格扣除证明材料（若有）</w:t>
      </w:r>
    </w:p>
    <w:p w14:paraId="39A01531">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编制说明</w:t>
      </w:r>
    </w:p>
    <w:p w14:paraId="3895C1E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0123A44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37DEEFA8">
      <w:pPr>
        <w:pStyle w:val="7"/>
        <w:jc w:val="center"/>
        <w:outlineLvl w:val="2"/>
        <w:rPr>
          <w:rFonts w:hint="eastAsia" w:ascii="仿宋" w:hAnsi="仿宋" w:eastAsia="仿宋" w:cs="仿宋"/>
          <w:b/>
          <w:sz w:val="28"/>
          <w:highlight w:val="none"/>
        </w:rPr>
      </w:pPr>
      <w:r>
        <w:rPr>
          <w:rFonts w:hint="eastAsia" w:ascii="仿宋" w:hAnsi="仿宋" w:eastAsia="仿宋" w:cs="仿宋"/>
          <w:b/>
          <w:sz w:val="28"/>
          <w:highlight w:val="none"/>
        </w:rPr>
        <w:t>封面格式(技术商务部分)</w:t>
      </w:r>
    </w:p>
    <w:p w14:paraId="3DAEF5E5">
      <w:pPr>
        <w:pStyle w:val="7"/>
        <w:jc w:val="center"/>
        <w:outlineLvl w:val="2"/>
        <w:rPr>
          <w:rFonts w:hint="eastAsia" w:ascii="仿宋" w:hAnsi="仿宋" w:eastAsia="仿宋" w:cs="仿宋"/>
          <w:b/>
          <w:sz w:val="28"/>
          <w:highlight w:val="none"/>
        </w:rPr>
      </w:pPr>
    </w:p>
    <w:p w14:paraId="00FE7C9F">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福建省政府采购投标文件</w:t>
      </w:r>
    </w:p>
    <w:p w14:paraId="5A1AE9AB">
      <w:pPr>
        <w:pStyle w:val="7"/>
        <w:jc w:val="center"/>
        <w:outlineLvl w:val="0"/>
        <w:rPr>
          <w:rFonts w:hint="eastAsia" w:ascii="仿宋" w:hAnsi="仿宋" w:eastAsia="仿宋" w:cs="仿宋"/>
          <w:highlight w:val="none"/>
        </w:rPr>
      </w:pPr>
      <w:r>
        <w:rPr>
          <w:rFonts w:hint="eastAsia" w:ascii="仿宋" w:hAnsi="仿宋" w:eastAsia="仿宋" w:cs="仿宋"/>
          <w:b/>
          <w:sz w:val="48"/>
          <w:highlight w:val="none"/>
        </w:rPr>
        <w:t>（技术商务部分）</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77388B83">
      <w:pPr>
        <w:pStyle w:val="7"/>
        <w:jc w:val="center"/>
        <w:outlineLvl w:val="1"/>
        <w:rPr>
          <w:rFonts w:hint="eastAsia" w:ascii="仿宋" w:hAnsi="仿宋" w:eastAsia="仿宋" w:cs="仿宋"/>
          <w:highlight w:val="none"/>
        </w:rPr>
      </w:pPr>
      <w:r>
        <w:rPr>
          <w:rFonts w:hint="eastAsia" w:ascii="仿宋" w:hAnsi="仿宋" w:eastAsia="仿宋" w:cs="仿宋"/>
          <w:b/>
          <w:sz w:val="36"/>
          <w:highlight w:val="none"/>
        </w:rPr>
        <w:t>（填写正本或副本）</w:t>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718492BA">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（项目名称：（由投标人填写）</w:t>
      </w:r>
    </w:p>
    <w:p w14:paraId="0974C492">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（备案编号：（由投标人填写）</w:t>
      </w:r>
    </w:p>
    <w:p w14:paraId="497223DB">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（项目编号：（由投标人填写）</w:t>
      </w:r>
    </w:p>
    <w:p w14:paraId="4C92FEE7">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（所投采购包：（由投标人填写）</w:t>
      </w:r>
      <w:r>
        <w:rPr>
          <w:rFonts w:hint="eastAsia" w:ascii="仿宋" w:hAnsi="仿宋" w:eastAsia="仿宋" w:cs="仿宋"/>
          <w:highlight w:val="none"/>
        </w:rPr>
        <w:br w:type="textWrapping"/>
      </w:r>
      <w:r>
        <w:rPr>
          <w:rFonts w:hint="eastAsia" w:ascii="仿宋" w:hAnsi="仿宋" w:eastAsia="仿宋" w:cs="仿宋"/>
          <w:highlight w:val="none"/>
        </w:rPr>
        <w:br w:type="textWrapping"/>
      </w:r>
    </w:p>
    <w:p w14:paraId="7D6AE46A">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投标人：（填写“全称”）</w:t>
      </w:r>
    </w:p>
    <w:p w14:paraId="7196B04F">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（由投标人填写）年（由投标人填写）月</w:t>
      </w:r>
    </w:p>
    <w:p w14:paraId="51E5D5EE">
      <w:pPr>
        <w:pStyle w:val="7"/>
        <w:rPr>
          <w:rFonts w:hint="eastAsia" w:ascii="仿宋" w:hAnsi="仿宋" w:eastAsia="仿宋" w:cs="仿宋"/>
          <w:highlight w:val="none"/>
        </w:rPr>
      </w:pPr>
      <w:r>
        <w:rPr>
          <w:rFonts w:hint="eastAsia" w:ascii="仿宋" w:hAnsi="仿宋" w:eastAsia="仿宋" w:cs="仿宋"/>
          <w:highlight w:val="none"/>
        </w:rPr>
        <w:t xml:space="preserve"> </w:t>
      </w:r>
      <w:r>
        <w:rPr>
          <w:rFonts w:hint="eastAsia" w:ascii="仿宋" w:hAnsi="仿宋" w:eastAsia="仿宋" w:cs="仿宋"/>
          <w:highlight w:val="none"/>
        </w:rPr>
        <w:br w:type="textWrapping"/>
      </w:r>
      <w:r>
        <w:rPr>
          <w:rFonts w:hint="eastAsia" w:ascii="仿宋" w:hAnsi="仿宋" w:eastAsia="仿宋" w:cs="仿宋"/>
          <w:highlight w:val="none"/>
        </w:rPr>
        <w:br w:type="page"/>
      </w:r>
    </w:p>
    <w:p w14:paraId="13E31E17">
      <w:pPr>
        <w:pStyle w:val="7"/>
        <w:jc w:val="center"/>
        <w:outlineLvl w:val="2"/>
        <w:rPr>
          <w:rFonts w:hint="eastAsia" w:ascii="仿宋" w:hAnsi="仿宋" w:eastAsia="仿宋" w:cs="仿宋"/>
          <w:highlight w:val="none"/>
        </w:rPr>
      </w:pPr>
      <w:r>
        <w:rPr>
          <w:rFonts w:hint="eastAsia" w:ascii="仿宋" w:hAnsi="仿宋" w:eastAsia="仿宋" w:cs="仿宋"/>
          <w:b/>
          <w:sz w:val="28"/>
          <w:highlight w:val="none"/>
        </w:rPr>
        <w:t>索引</w:t>
      </w:r>
    </w:p>
    <w:p w14:paraId="7284FBF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一、标的说明一览表</w:t>
      </w:r>
    </w:p>
    <w:p w14:paraId="693FC77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二、技术和服务要求响应表</w:t>
      </w:r>
    </w:p>
    <w:p w14:paraId="1C3B5C4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三、商务条件响应表</w:t>
      </w:r>
    </w:p>
    <w:p w14:paraId="3833901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四、投标人提交的其他资料（若有）</w:t>
      </w:r>
    </w:p>
    <w:p w14:paraId="7B49830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3B790C5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技术商务部分中不得出现报价部分的全部或部分的投标报价信息（或组成资料），否则符合性审查不合格。</w:t>
      </w:r>
    </w:p>
    <w:p w14:paraId="3A38BA7C">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580801A">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一、标的说明一览表</w:t>
      </w:r>
    </w:p>
    <w:p w14:paraId="411E8A0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50BEA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72C22D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w:t>
            </w:r>
          </w:p>
        </w:tc>
        <w:tc>
          <w:tcPr>
            <w:tcW w:w="1187" w:type="dxa"/>
          </w:tcPr>
          <w:p w14:paraId="42E1002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187" w:type="dxa"/>
          </w:tcPr>
          <w:p w14:paraId="560DDB70">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投标标的</w:t>
            </w:r>
          </w:p>
        </w:tc>
        <w:tc>
          <w:tcPr>
            <w:tcW w:w="1187" w:type="dxa"/>
          </w:tcPr>
          <w:p w14:paraId="5BD7FAF7">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187" w:type="dxa"/>
          </w:tcPr>
          <w:p w14:paraId="64DFE0A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规格</w:t>
            </w:r>
          </w:p>
        </w:tc>
        <w:tc>
          <w:tcPr>
            <w:tcW w:w="1187" w:type="dxa"/>
          </w:tcPr>
          <w:p w14:paraId="62DD453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来源地</w:t>
            </w:r>
          </w:p>
        </w:tc>
        <w:tc>
          <w:tcPr>
            <w:tcW w:w="1187" w:type="dxa"/>
          </w:tcPr>
          <w:p w14:paraId="4331A6F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r>
      <w:tr w14:paraId="5BFE5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restart"/>
          </w:tcPr>
          <w:p w14:paraId="2BBAD451">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187" w:type="dxa"/>
          </w:tcPr>
          <w:p w14:paraId="3F16E25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187" w:type="dxa"/>
          </w:tcPr>
          <w:p w14:paraId="0CE321F5">
            <w:pPr>
              <w:rPr>
                <w:rFonts w:hint="eastAsia" w:ascii="仿宋" w:hAnsi="仿宋" w:eastAsia="仿宋" w:cs="仿宋"/>
                <w:sz w:val="24"/>
                <w:szCs w:val="24"/>
                <w:highlight w:val="none"/>
              </w:rPr>
            </w:pPr>
          </w:p>
        </w:tc>
        <w:tc>
          <w:tcPr>
            <w:tcW w:w="1187" w:type="dxa"/>
          </w:tcPr>
          <w:p w14:paraId="0AC31D36">
            <w:pPr>
              <w:rPr>
                <w:rFonts w:hint="eastAsia" w:ascii="仿宋" w:hAnsi="仿宋" w:eastAsia="仿宋" w:cs="仿宋"/>
                <w:sz w:val="24"/>
                <w:szCs w:val="24"/>
                <w:highlight w:val="none"/>
              </w:rPr>
            </w:pPr>
          </w:p>
        </w:tc>
        <w:tc>
          <w:tcPr>
            <w:tcW w:w="1187" w:type="dxa"/>
          </w:tcPr>
          <w:p w14:paraId="3DB75254">
            <w:pPr>
              <w:rPr>
                <w:rFonts w:hint="eastAsia" w:ascii="仿宋" w:hAnsi="仿宋" w:eastAsia="仿宋" w:cs="仿宋"/>
                <w:sz w:val="24"/>
                <w:szCs w:val="24"/>
                <w:highlight w:val="none"/>
              </w:rPr>
            </w:pPr>
          </w:p>
        </w:tc>
        <w:tc>
          <w:tcPr>
            <w:tcW w:w="1187" w:type="dxa"/>
          </w:tcPr>
          <w:p w14:paraId="6B779F0A">
            <w:pPr>
              <w:rPr>
                <w:rFonts w:hint="eastAsia" w:ascii="仿宋" w:hAnsi="仿宋" w:eastAsia="仿宋" w:cs="仿宋"/>
                <w:sz w:val="24"/>
                <w:szCs w:val="24"/>
                <w:highlight w:val="none"/>
              </w:rPr>
            </w:pPr>
          </w:p>
        </w:tc>
      </w:tr>
      <w:tr w14:paraId="599AC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vMerge w:val="continue"/>
          </w:tcPr>
          <w:p w14:paraId="3AC65A49">
            <w:pPr>
              <w:rPr>
                <w:rFonts w:hint="eastAsia" w:ascii="仿宋" w:hAnsi="仿宋" w:eastAsia="仿宋" w:cs="仿宋"/>
                <w:sz w:val="24"/>
                <w:szCs w:val="24"/>
                <w:highlight w:val="none"/>
              </w:rPr>
            </w:pPr>
          </w:p>
        </w:tc>
        <w:tc>
          <w:tcPr>
            <w:tcW w:w="1187" w:type="dxa"/>
          </w:tcPr>
          <w:p w14:paraId="7BB766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187" w:type="dxa"/>
          </w:tcPr>
          <w:p w14:paraId="24EF5774">
            <w:pPr>
              <w:rPr>
                <w:rFonts w:hint="eastAsia" w:ascii="仿宋" w:hAnsi="仿宋" w:eastAsia="仿宋" w:cs="仿宋"/>
                <w:sz w:val="24"/>
                <w:szCs w:val="24"/>
                <w:highlight w:val="none"/>
              </w:rPr>
            </w:pPr>
          </w:p>
        </w:tc>
        <w:tc>
          <w:tcPr>
            <w:tcW w:w="1187" w:type="dxa"/>
          </w:tcPr>
          <w:p w14:paraId="25D4FDBF">
            <w:pPr>
              <w:rPr>
                <w:rFonts w:hint="eastAsia" w:ascii="仿宋" w:hAnsi="仿宋" w:eastAsia="仿宋" w:cs="仿宋"/>
                <w:sz w:val="24"/>
                <w:szCs w:val="24"/>
                <w:highlight w:val="none"/>
              </w:rPr>
            </w:pPr>
          </w:p>
        </w:tc>
        <w:tc>
          <w:tcPr>
            <w:tcW w:w="1187" w:type="dxa"/>
          </w:tcPr>
          <w:p w14:paraId="3BD298BC">
            <w:pPr>
              <w:rPr>
                <w:rFonts w:hint="eastAsia" w:ascii="仿宋" w:hAnsi="仿宋" w:eastAsia="仿宋" w:cs="仿宋"/>
                <w:sz w:val="24"/>
                <w:szCs w:val="24"/>
                <w:highlight w:val="none"/>
              </w:rPr>
            </w:pPr>
          </w:p>
        </w:tc>
        <w:tc>
          <w:tcPr>
            <w:tcW w:w="1187" w:type="dxa"/>
          </w:tcPr>
          <w:p w14:paraId="4765C9EE">
            <w:pPr>
              <w:rPr>
                <w:rFonts w:hint="eastAsia" w:ascii="仿宋" w:hAnsi="仿宋" w:eastAsia="仿宋" w:cs="仿宋"/>
                <w:sz w:val="24"/>
                <w:szCs w:val="24"/>
                <w:highlight w:val="none"/>
              </w:rPr>
            </w:pPr>
          </w:p>
        </w:tc>
      </w:tr>
      <w:tr w14:paraId="161CDE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wAfter w:w="1187" w:type="dxa"/>
        </w:trPr>
        <w:tc>
          <w:tcPr>
            <w:tcW w:w="1187" w:type="dxa"/>
          </w:tcPr>
          <w:p w14:paraId="4E51000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187" w:type="dxa"/>
          </w:tcPr>
          <w:p w14:paraId="53DF830B">
            <w:pPr>
              <w:rPr>
                <w:rFonts w:hint="eastAsia" w:ascii="仿宋" w:hAnsi="仿宋" w:eastAsia="仿宋" w:cs="仿宋"/>
                <w:sz w:val="24"/>
                <w:szCs w:val="24"/>
                <w:highlight w:val="none"/>
              </w:rPr>
            </w:pPr>
          </w:p>
        </w:tc>
        <w:tc>
          <w:tcPr>
            <w:tcW w:w="1187" w:type="dxa"/>
          </w:tcPr>
          <w:p w14:paraId="5B5E532B">
            <w:pPr>
              <w:rPr>
                <w:rFonts w:hint="eastAsia" w:ascii="仿宋" w:hAnsi="仿宋" w:eastAsia="仿宋" w:cs="仿宋"/>
                <w:sz w:val="24"/>
                <w:szCs w:val="24"/>
                <w:highlight w:val="none"/>
              </w:rPr>
            </w:pPr>
          </w:p>
        </w:tc>
        <w:tc>
          <w:tcPr>
            <w:tcW w:w="1187" w:type="dxa"/>
          </w:tcPr>
          <w:p w14:paraId="2E22CD6C">
            <w:pPr>
              <w:rPr>
                <w:rFonts w:hint="eastAsia" w:ascii="仿宋" w:hAnsi="仿宋" w:eastAsia="仿宋" w:cs="仿宋"/>
                <w:sz w:val="24"/>
                <w:szCs w:val="24"/>
                <w:highlight w:val="none"/>
              </w:rPr>
            </w:pPr>
          </w:p>
        </w:tc>
        <w:tc>
          <w:tcPr>
            <w:tcW w:w="1187" w:type="dxa"/>
          </w:tcPr>
          <w:p w14:paraId="77B776F3">
            <w:pPr>
              <w:rPr>
                <w:rFonts w:hint="eastAsia" w:ascii="仿宋" w:hAnsi="仿宋" w:eastAsia="仿宋" w:cs="仿宋"/>
                <w:sz w:val="24"/>
                <w:szCs w:val="24"/>
                <w:highlight w:val="none"/>
              </w:rPr>
            </w:pPr>
          </w:p>
        </w:tc>
        <w:tc>
          <w:tcPr>
            <w:tcW w:w="1187" w:type="dxa"/>
          </w:tcPr>
          <w:p w14:paraId="5159D0B7">
            <w:pPr>
              <w:rPr>
                <w:rFonts w:hint="eastAsia" w:ascii="仿宋" w:hAnsi="仿宋" w:eastAsia="仿宋" w:cs="仿宋"/>
                <w:sz w:val="24"/>
                <w:szCs w:val="24"/>
                <w:highlight w:val="none"/>
              </w:rPr>
            </w:pPr>
          </w:p>
        </w:tc>
      </w:tr>
    </w:tbl>
    <w:p w14:paraId="1189AEC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59C3F35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1、本表应按照下列规定填写：</w:t>
      </w:r>
    </w:p>
    <w:p w14:paraId="631853B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1.1“采购包”、“品目号”、“投标标的”及“数量”应与招标文件《采购标的一览表》中的有关内容（“采购包”、“品目号”、“采购标的”及“数量”）保持一致。</w:t>
      </w:r>
    </w:p>
    <w:p w14:paraId="5F73CC9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14:paraId="3F1DCD0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1.3“投标标的”为服务的：“规格”项下应填写服务提供者提供的服务标准及品牌（若有）。“来源地”应填写服务提供者的所在地。“备注”项下应填写关于服务标准所涵盖的具体项目或内容的说明等。</w:t>
      </w:r>
    </w:p>
    <w:p w14:paraId="3CB6EDE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14:paraId="04677187">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3、电子投标文件中涉及“投标标的”、“数量”、“规格”、“来源地”的内容若不一致，应以本表为准。</w:t>
      </w:r>
    </w:p>
    <w:p w14:paraId="3C0229C4">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1F16C387">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0C934F8C">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48EF06FC">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二、技术和服务要求响应表</w:t>
      </w:r>
    </w:p>
    <w:p w14:paraId="2B42F73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85572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EFC605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w:t>
            </w:r>
          </w:p>
        </w:tc>
        <w:tc>
          <w:tcPr>
            <w:tcW w:w="1661" w:type="dxa"/>
          </w:tcPr>
          <w:p w14:paraId="553A801D">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661" w:type="dxa"/>
          </w:tcPr>
          <w:p w14:paraId="6125B35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技术和服务要求</w:t>
            </w:r>
          </w:p>
        </w:tc>
        <w:tc>
          <w:tcPr>
            <w:tcW w:w="1661" w:type="dxa"/>
          </w:tcPr>
          <w:p w14:paraId="105644B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投标响应</w:t>
            </w:r>
          </w:p>
        </w:tc>
        <w:tc>
          <w:tcPr>
            <w:tcW w:w="1661" w:type="dxa"/>
          </w:tcPr>
          <w:p w14:paraId="6BBDECE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是否偏离及说明</w:t>
            </w:r>
          </w:p>
        </w:tc>
      </w:tr>
      <w:tr w14:paraId="6EE579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071BD2FC">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4C1336A6">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661" w:type="dxa"/>
          </w:tcPr>
          <w:p w14:paraId="7C4DBC02">
            <w:pPr>
              <w:rPr>
                <w:rFonts w:hint="eastAsia" w:ascii="仿宋" w:hAnsi="仿宋" w:eastAsia="仿宋" w:cs="仿宋"/>
                <w:sz w:val="24"/>
                <w:szCs w:val="24"/>
                <w:highlight w:val="none"/>
              </w:rPr>
            </w:pPr>
          </w:p>
        </w:tc>
        <w:tc>
          <w:tcPr>
            <w:tcW w:w="1661" w:type="dxa"/>
          </w:tcPr>
          <w:p w14:paraId="2114D67F">
            <w:pPr>
              <w:rPr>
                <w:rFonts w:hint="eastAsia" w:ascii="仿宋" w:hAnsi="仿宋" w:eastAsia="仿宋" w:cs="仿宋"/>
                <w:sz w:val="24"/>
                <w:szCs w:val="24"/>
                <w:highlight w:val="none"/>
              </w:rPr>
            </w:pPr>
          </w:p>
        </w:tc>
        <w:tc>
          <w:tcPr>
            <w:tcW w:w="1661" w:type="dxa"/>
          </w:tcPr>
          <w:p w14:paraId="534EFD38">
            <w:pPr>
              <w:rPr>
                <w:rFonts w:hint="eastAsia" w:ascii="仿宋" w:hAnsi="仿宋" w:eastAsia="仿宋" w:cs="仿宋"/>
                <w:sz w:val="24"/>
                <w:szCs w:val="24"/>
                <w:highlight w:val="none"/>
              </w:rPr>
            </w:pPr>
          </w:p>
        </w:tc>
      </w:tr>
      <w:tr w14:paraId="7917F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27CBFB51">
            <w:pPr>
              <w:rPr>
                <w:rFonts w:hint="eastAsia" w:ascii="仿宋" w:hAnsi="仿宋" w:eastAsia="仿宋" w:cs="仿宋"/>
                <w:sz w:val="24"/>
                <w:szCs w:val="24"/>
                <w:highlight w:val="none"/>
              </w:rPr>
            </w:pPr>
          </w:p>
        </w:tc>
        <w:tc>
          <w:tcPr>
            <w:tcW w:w="1661" w:type="dxa"/>
          </w:tcPr>
          <w:p w14:paraId="4C5EFB6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57731B58">
            <w:pPr>
              <w:rPr>
                <w:rFonts w:hint="eastAsia" w:ascii="仿宋" w:hAnsi="仿宋" w:eastAsia="仿宋" w:cs="仿宋"/>
                <w:sz w:val="24"/>
                <w:szCs w:val="24"/>
                <w:highlight w:val="none"/>
              </w:rPr>
            </w:pPr>
          </w:p>
        </w:tc>
        <w:tc>
          <w:tcPr>
            <w:tcW w:w="1661" w:type="dxa"/>
          </w:tcPr>
          <w:p w14:paraId="07D44B09">
            <w:pPr>
              <w:rPr>
                <w:rFonts w:hint="eastAsia" w:ascii="仿宋" w:hAnsi="仿宋" w:eastAsia="仿宋" w:cs="仿宋"/>
                <w:sz w:val="24"/>
                <w:szCs w:val="24"/>
                <w:highlight w:val="none"/>
              </w:rPr>
            </w:pPr>
          </w:p>
        </w:tc>
        <w:tc>
          <w:tcPr>
            <w:tcW w:w="1661" w:type="dxa"/>
          </w:tcPr>
          <w:p w14:paraId="6F4B7BBB">
            <w:pPr>
              <w:rPr>
                <w:rFonts w:hint="eastAsia" w:ascii="仿宋" w:hAnsi="仿宋" w:eastAsia="仿宋" w:cs="仿宋"/>
                <w:sz w:val="24"/>
                <w:szCs w:val="24"/>
                <w:highlight w:val="none"/>
              </w:rPr>
            </w:pPr>
          </w:p>
        </w:tc>
      </w:tr>
      <w:tr w14:paraId="6AD2A6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36DBEF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47A28685">
            <w:pPr>
              <w:rPr>
                <w:rFonts w:hint="eastAsia" w:ascii="仿宋" w:hAnsi="仿宋" w:eastAsia="仿宋" w:cs="仿宋"/>
                <w:sz w:val="24"/>
                <w:szCs w:val="24"/>
                <w:highlight w:val="none"/>
              </w:rPr>
            </w:pPr>
          </w:p>
        </w:tc>
        <w:tc>
          <w:tcPr>
            <w:tcW w:w="1661" w:type="dxa"/>
          </w:tcPr>
          <w:p w14:paraId="34BA8B1B">
            <w:pPr>
              <w:rPr>
                <w:rFonts w:hint="eastAsia" w:ascii="仿宋" w:hAnsi="仿宋" w:eastAsia="仿宋" w:cs="仿宋"/>
                <w:sz w:val="24"/>
                <w:szCs w:val="24"/>
                <w:highlight w:val="none"/>
              </w:rPr>
            </w:pPr>
          </w:p>
        </w:tc>
        <w:tc>
          <w:tcPr>
            <w:tcW w:w="1661" w:type="dxa"/>
          </w:tcPr>
          <w:p w14:paraId="3AFDABBF">
            <w:pPr>
              <w:rPr>
                <w:rFonts w:hint="eastAsia" w:ascii="仿宋" w:hAnsi="仿宋" w:eastAsia="仿宋" w:cs="仿宋"/>
                <w:sz w:val="24"/>
                <w:szCs w:val="24"/>
                <w:highlight w:val="none"/>
              </w:rPr>
            </w:pPr>
          </w:p>
        </w:tc>
        <w:tc>
          <w:tcPr>
            <w:tcW w:w="1661" w:type="dxa"/>
          </w:tcPr>
          <w:p w14:paraId="72E69185">
            <w:pPr>
              <w:rPr>
                <w:rFonts w:hint="eastAsia" w:ascii="仿宋" w:hAnsi="仿宋" w:eastAsia="仿宋" w:cs="仿宋"/>
                <w:sz w:val="24"/>
                <w:szCs w:val="24"/>
                <w:highlight w:val="none"/>
              </w:rPr>
            </w:pPr>
          </w:p>
        </w:tc>
      </w:tr>
    </w:tbl>
    <w:p w14:paraId="030FC71C">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0614B40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1、本表应按照下列规定填写：</w:t>
      </w:r>
    </w:p>
    <w:p w14:paraId="251A035D">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1.1“技术和服务要求”项下填写的内容应与招标文件第五章“技术和服务要求”的内容保持一致。</w:t>
      </w:r>
    </w:p>
    <w:p w14:paraId="28849B98">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14:paraId="051B66B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1.3“是否偏离及说明”项下应按下列规定填写：优于的，填写“正偏离”；符合的，填写“无偏离”；低于的，填写“负偏离”。</w:t>
      </w:r>
    </w:p>
    <w:p w14:paraId="2ADE4A2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14:paraId="5E109FBA">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3CBDFF9A">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663DC658">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5BE598D2">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三、商务条件响应表</w:t>
      </w:r>
    </w:p>
    <w:p w14:paraId="49754650">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74416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86CC852">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采购包</w:t>
            </w:r>
          </w:p>
        </w:tc>
        <w:tc>
          <w:tcPr>
            <w:tcW w:w="1661" w:type="dxa"/>
          </w:tcPr>
          <w:p w14:paraId="2800DC0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661" w:type="dxa"/>
          </w:tcPr>
          <w:p w14:paraId="587E232E">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商务条件</w:t>
            </w:r>
          </w:p>
        </w:tc>
        <w:tc>
          <w:tcPr>
            <w:tcW w:w="1661" w:type="dxa"/>
          </w:tcPr>
          <w:p w14:paraId="5A940878">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投标响应</w:t>
            </w:r>
          </w:p>
        </w:tc>
        <w:tc>
          <w:tcPr>
            <w:tcW w:w="1661" w:type="dxa"/>
          </w:tcPr>
          <w:p w14:paraId="42DCC5AA">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是否偏离及说明</w:t>
            </w:r>
          </w:p>
        </w:tc>
      </w:tr>
      <w:tr w14:paraId="484EFF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restart"/>
          </w:tcPr>
          <w:p w14:paraId="1835EAA3">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3CC8E494">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661" w:type="dxa"/>
          </w:tcPr>
          <w:p w14:paraId="67A7951F">
            <w:pPr>
              <w:rPr>
                <w:rFonts w:hint="eastAsia" w:ascii="仿宋" w:hAnsi="仿宋" w:eastAsia="仿宋" w:cs="仿宋"/>
                <w:sz w:val="24"/>
                <w:szCs w:val="24"/>
                <w:highlight w:val="none"/>
              </w:rPr>
            </w:pPr>
          </w:p>
        </w:tc>
        <w:tc>
          <w:tcPr>
            <w:tcW w:w="1661" w:type="dxa"/>
          </w:tcPr>
          <w:p w14:paraId="1020869E">
            <w:pPr>
              <w:rPr>
                <w:rFonts w:hint="eastAsia" w:ascii="仿宋" w:hAnsi="仿宋" w:eastAsia="仿宋" w:cs="仿宋"/>
                <w:sz w:val="24"/>
                <w:szCs w:val="24"/>
                <w:highlight w:val="none"/>
              </w:rPr>
            </w:pPr>
          </w:p>
        </w:tc>
        <w:tc>
          <w:tcPr>
            <w:tcW w:w="1661" w:type="dxa"/>
          </w:tcPr>
          <w:p w14:paraId="3520ABA0">
            <w:pPr>
              <w:rPr>
                <w:rFonts w:hint="eastAsia" w:ascii="仿宋" w:hAnsi="仿宋" w:eastAsia="仿宋" w:cs="仿宋"/>
                <w:sz w:val="24"/>
                <w:szCs w:val="24"/>
                <w:highlight w:val="none"/>
              </w:rPr>
            </w:pPr>
          </w:p>
        </w:tc>
      </w:tr>
      <w:tr w14:paraId="38CCD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vMerge w:val="continue"/>
          </w:tcPr>
          <w:p w14:paraId="7DA5A8EE">
            <w:pPr>
              <w:rPr>
                <w:rFonts w:hint="eastAsia" w:ascii="仿宋" w:hAnsi="仿宋" w:eastAsia="仿宋" w:cs="仿宋"/>
                <w:sz w:val="24"/>
                <w:szCs w:val="24"/>
                <w:highlight w:val="none"/>
              </w:rPr>
            </w:pPr>
          </w:p>
        </w:tc>
        <w:tc>
          <w:tcPr>
            <w:tcW w:w="1661" w:type="dxa"/>
          </w:tcPr>
          <w:p w14:paraId="772C8AA9">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5BC01F20">
            <w:pPr>
              <w:rPr>
                <w:rFonts w:hint="eastAsia" w:ascii="仿宋" w:hAnsi="仿宋" w:eastAsia="仿宋" w:cs="仿宋"/>
                <w:sz w:val="24"/>
                <w:szCs w:val="24"/>
                <w:highlight w:val="none"/>
              </w:rPr>
            </w:pPr>
          </w:p>
        </w:tc>
        <w:tc>
          <w:tcPr>
            <w:tcW w:w="1661" w:type="dxa"/>
          </w:tcPr>
          <w:p w14:paraId="31973484">
            <w:pPr>
              <w:rPr>
                <w:rFonts w:hint="eastAsia" w:ascii="仿宋" w:hAnsi="仿宋" w:eastAsia="仿宋" w:cs="仿宋"/>
                <w:sz w:val="24"/>
                <w:szCs w:val="24"/>
                <w:highlight w:val="none"/>
              </w:rPr>
            </w:pPr>
          </w:p>
        </w:tc>
        <w:tc>
          <w:tcPr>
            <w:tcW w:w="1661" w:type="dxa"/>
          </w:tcPr>
          <w:p w14:paraId="28001775">
            <w:pPr>
              <w:rPr>
                <w:rFonts w:hint="eastAsia" w:ascii="仿宋" w:hAnsi="仿宋" w:eastAsia="仿宋" w:cs="仿宋"/>
                <w:sz w:val="24"/>
                <w:szCs w:val="24"/>
                <w:highlight w:val="none"/>
              </w:rPr>
            </w:pPr>
          </w:p>
        </w:tc>
      </w:tr>
      <w:tr w14:paraId="2A591E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6382E6F">
            <w:pPr>
              <w:pStyle w:val="7"/>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661" w:type="dxa"/>
          </w:tcPr>
          <w:p w14:paraId="4EBFAC23">
            <w:pPr>
              <w:rPr>
                <w:rFonts w:hint="eastAsia" w:ascii="仿宋" w:hAnsi="仿宋" w:eastAsia="仿宋" w:cs="仿宋"/>
                <w:sz w:val="24"/>
                <w:szCs w:val="24"/>
                <w:highlight w:val="none"/>
              </w:rPr>
            </w:pPr>
          </w:p>
        </w:tc>
        <w:tc>
          <w:tcPr>
            <w:tcW w:w="1661" w:type="dxa"/>
          </w:tcPr>
          <w:p w14:paraId="08FF50CB">
            <w:pPr>
              <w:rPr>
                <w:rFonts w:hint="eastAsia" w:ascii="仿宋" w:hAnsi="仿宋" w:eastAsia="仿宋" w:cs="仿宋"/>
                <w:sz w:val="24"/>
                <w:szCs w:val="24"/>
                <w:highlight w:val="none"/>
              </w:rPr>
            </w:pPr>
          </w:p>
        </w:tc>
        <w:tc>
          <w:tcPr>
            <w:tcW w:w="1661" w:type="dxa"/>
          </w:tcPr>
          <w:p w14:paraId="65EC3904">
            <w:pPr>
              <w:rPr>
                <w:rFonts w:hint="eastAsia" w:ascii="仿宋" w:hAnsi="仿宋" w:eastAsia="仿宋" w:cs="仿宋"/>
                <w:sz w:val="24"/>
                <w:szCs w:val="24"/>
                <w:highlight w:val="none"/>
              </w:rPr>
            </w:pPr>
          </w:p>
        </w:tc>
        <w:tc>
          <w:tcPr>
            <w:tcW w:w="1661" w:type="dxa"/>
          </w:tcPr>
          <w:p w14:paraId="286F86A2">
            <w:pPr>
              <w:rPr>
                <w:rFonts w:hint="eastAsia" w:ascii="仿宋" w:hAnsi="仿宋" w:eastAsia="仿宋" w:cs="仿宋"/>
                <w:sz w:val="24"/>
                <w:szCs w:val="24"/>
                <w:highlight w:val="none"/>
              </w:rPr>
            </w:pPr>
          </w:p>
        </w:tc>
      </w:tr>
    </w:tbl>
    <w:p w14:paraId="56595B66">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※注意：</w:t>
      </w:r>
    </w:p>
    <w:p w14:paraId="4AAB8C5F">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1、本表应按照下列规定填写：</w:t>
      </w:r>
    </w:p>
    <w:p w14:paraId="4833C78A">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1.1“商务条件”项下填写的内容应与招标文件第五章“商务条件”的内容保持一致。</w:t>
      </w:r>
    </w:p>
    <w:p w14:paraId="3A4330DE">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1.2“投标响应”项下应填写具体的响应内容并与“商务条件”项下填写的内容逐项对应；对“商务条件”项下涉及“≥或＞”、“≤或＜”及某个区间值范围内的内容，应填写具体的数值。</w:t>
      </w:r>
    </w:p>
    <w:p w14:paraId="00688BD4">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1.3“是否偏离及说明”项下应按下列规定填写：优于的，填写“正偏离”；符合的，填写“无偏离”；低于的，填写“负偏离”。</w:t>
      </w:r>
    </w:p>
    <w:p w14:paraId="2A27917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2、投标人需要说明的内容若需特殊表达，应先在本表中进行相应说明，再另页应答，但应做好标注说明，方便评委查阅评审。未标注说明可能导致的不利的评审后果由投标人自行承担。</w:t>
      </w:r>
    </w:p>
    <w:p w14:paraId="322CF8EE">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投标人：</w:t>
      </w:r>
      <w:r>
        <w:rPr>
          <w:rFonts w:hint="eastAsia" w:ascii="仿宋" w:hAnsi="仿宋" w:eastAsia="仿宋" w:cs="仿宋"/>
          <w:sz w:val="24"/>
          <w:szCs w:val="24"/>
          <w:highlight w:val="none"/>
          <w:u w:val="single"/>
        </w:rPr>
        <w:t>（全称并加盖单位公章）</w:t>
      </w:r>
    </w:p>
    <w:p w14:paraId="4135931B">
      <w:pPr>
        <w:pStyle w:val="7"/>
        <w:ind w:firstLine="48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年　　月　　日</w:t>
      </w:r>
    </w:p>
    <w:p w14:paraId="030812E0">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br w:type="page"/>
      </w:r>
    </w:p>
    <w:p w14:paraId="64C0EA15">
      <w:pPr>
        <w:pStyle w:val="7"/>
        <w:jc w:val="center"/>
        <w:outlineLvl w:val="2"/>
        <w:rPr>
          <w:rFonts w:hint="eastAsia" w:ascii="仿宋" w:hAnsi="仿宋" w:eastAsia="仿宋" w:cs="仿宋"/>
          <w:sz w:val="24"/>
          <w:szCs w:val="24"/>
          <w:highlight w:val="none"/>
        </w:rPr>
      </w:pPr>
      <w:r>
        <w:rPr>
          <w:rFonts w:hint="eastAsia" w:ascii="仿宋" w:hAnsi="仿宋" w:eastAsia="仿宋" w:cs="仿宋"/>
          <w:b/>
          <w:sz w:val="24"/>
          <w:szCs w:val="24"/>
          <w:highlight w:val="none"/>
        </w:rPr>
        <w:t>四、投标人提交的其他资料（若有）</w:t>
      </w:r>
    </w:p>
    <w:p w14:paraId="39B6169A">
      <w:pPr>
        <w:pStyle w:val="7"/>
        <w:ind w:firstLine="48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编制说明</w:t>
      </w:r>
    </w:p>
    <w:p w14:paraId="4B36FA39">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1、招标文件要求提交的除“资格及资信证明部分”、“报价部分”外的其他证明材料或资料加盖投标人的单位公章后应在此项下提交。</w:t>
      </w:r>
    </w:p>
    <w:p w14:paraId="52240293">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2、招标文件要求投标人提供方案（包括但不限于：组织、实施、技术、服务方案等）的，投标人应在此项下提交。</w:t>
      </w:r>
    </w:p>
    <w:p w14:paraId="47A902C5">
      <w:pPr>
        <w:pStyle w:val="7"/>
        <w:ind w:firstLine="48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3、除招标文件另有规定外，投标人认为需要提交的其他证明材料或资料加盖投标人的单位公章后应在此项下提交。</w:t>
      </w:r>
    </w:p>
    <w:p w14:paraId="2BF012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decimal"/>
      <w:suff w:val="nothing"/>
      <w:lvlText w:val="%1）"/>
      <w:lvlJc w:val="left"/>
    </w:lvl>
  </w:abstractNum>
  <w:abstractNum w:abstractNumId="1">
    <w:nsid w:val="00000001"/>
    <w:multiLevelType w:val="singleLevel"/>
    <w:tmpl w:val="00000001"/>
    <w:lvl w:ilvl="0" w:tentative="0">
      <w:start w:val="1"/>
      <w:numFmt w:val="bullet"/>
      <w:lvlText w:val=""/>
      <w:lvlJc w:val="left"/>
      <w:pPr>
        <w:ind w:left="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56E89"/>
    <w:rsid w:val="02BE3A7E"/>
    <w:rsid w:val="03AF1619"/>
    <w:rsid w:val="03E30DBA"/>
    <w:rsid w:val="048A4FA0"/>
    <w:rsid w:val="07D37F63"/>
    <w:rsid w:val="0891753F"/>
    <w:rsid w:val="0CE51EE5"/>
    <w:rsid w:val="0F072309"/>
    <w:rsid w:val="11073A32"/>
    <w:rsid w:val="12EA7F78"/>
    <w:rsid w:val="13201BEB"/>
    <w:rsid w:val="1499608D"/>
    <w:rsid w:val="15BB209F"/>
    <w:rsid w:val="19FC6162"/>
    <w:rsid w:val="1B8D675B"/>
    <w:rsid w:val="1CF00880"/>
    <w:rsid w:val="1ECA6EAF"/>
    <w:rsid w:val="1EE937D9"/>
    <w:rsid w:val="20A025BE"/>
    <w:rsid w:val="21052421"/>
    <w:rsid w:val="22347461"/>
    <w:rsid w:val="2677791D"/>
    <w:rsid w:val="28BF50C6"/>
    <w:rsid w:val="2CB76CC5"/>
    <w:rsid w:val="2DF4181D"/>
    <w:rsid w:val="2EC92CDF"/>
    <w:rsid w:val="2F723377"/>
    <w:rsid w:val="2FED0C50"/>
    <w:rsid w:val="32A41A99"/>
    <w:rsid w:val="348E2AAD"/>
    <w:rsid w:val="34E02B31"/>
    <w:rsid w:val="39984D42"/>
    <w:rsid w:val="39AB12AA"/>
    <w:rsid w:val="3C3F0A85"/>
    <w:rsid w:val="3C447E49"/>
    <w:rsid w:val="3C9541F0"/>
    <w:rsid w:val="3D4D2D2E"/>
    <w:rsid w:val="3EAE00E3"/>
    <w:rsid w:val="3EB62F71"/>
    <w:rsid w:val="4093314D"/>
    <w:rsid w:val="41100491"/>
    <w:rsid w:val="41467CF0"/>
    <w:rsid w:val="42240501"/>
    <w:rsid w:val="437E5696"/>
    <w:rsid w:val="463E4252"/>
    <w:rsid w:val="488340A3"/>
    <w:rsid w:val="491D5CAA"/>
    <w:rsid w:val="49E30CA1"/>
    <w:rsid w:val="4BD25472"/>
    <w:rsid w:val="4C095A4C"/>
    <w:rsid w:val="4D861753"/>
    <w:rsid w:val="4E715C09"/>
    <w:rsid w:val="4F147FCE"/>
    <w:rsid w:val="50403BB1"/>
    <w:rsid w:val="51143E36"/>
    <w:rsid w:val="51622D57"/>
    <w:rsid w:val="52980B06"/>
    <w:rsid w:val="54493C6F"/>
    <w:rsid w:val="59F6057D"/>
    <w:rsid w:val="5EE83A41"/>
    <w:rsid w:val="61C40F61"/>
    <w:rsid w:val="65F35787"/>
    <w:rsid w:val="66925AD1"/>
    <w:rsid w:val="68E819D9"/>
    <w:rsid w:val="6956638B"/>
    <w:rsid w:val="6A7F011B"/>
    <w:rsid w:val="6D2356D5"/>
    <w:rsid w:val="6D2B0C10"/>
    <w:rsid w:val="6EBA6FC6"/>
    <w:rsid w:val="6F912DCA"/>
    <w:rsid w:val="708F7F54"/>
    <w:rsid w:val="70F31F92"/>
    <w:rsid w:val="712F4635"/>
    <w:rsid w:val="759C7DD3"/>
    <w:rsid w:val="79293FF2"/>
    <w:rsid w:val="7A763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qForma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character" w:styleId="6">
    <w:name w:val="Strong"/>
    <w:basedOn w:val="5"/>
    <w:qFormat/>
    <w:uiPriority w:val="0"/>
    <w:rPr>
      <w:b/>
    </w:rPr>
  </w:style>
  <w:style w:type="paragraph" w:customStyle="1" w:styleId="7">
    <w:name w:val="null3"/>
    <w:qFormat/>
    <w:uiPriority w:val="0"/>
    <w:rPr>
      <w:rFonts w:hint="eastAsia" w:ascii="Calibri" w:hAnsi="Calibri" w:eastAsia="宋体" w:cs="宋体"/>
      <w:lang w:val="en-US"/>
    </w:rPr>
  </w:style>
  <w:style w:type="character" w:customStyle="1" w:styleId="8">
    <w:name w:val="font11"/>
    <w:basedOn w:val="5"/>
    <w:qFormat/>
    <w:uiPriority w:val="0"/>
    <w:rPr>
      <w:rFonts w:hint="eastAsia" w:ascii="宋体" w:hAnsi="宋体" w:eastAsia="宋体" w:cs="宋体"/>
      <w:color w:val="000000"/>
      <w:sz w:val="24"/>
      <w:szCs w:val="24"/>
      <w:u w:val="none"/>
    </w:rPr>
  </w:style>
  <w:style w:type="character" w:customStyle="1" w:styleId="9">
    <w:name w:val="font51"/>
    <w:basedOn w:val="5"/>
    <w:qFormat/>
    <w:uiPriority w:val="0"/>
    <w:rPr>
      <w:rFonts w:hint="eastAsia" w:ascii="宋体" w:hAnsi="宋体" w:eastAsia="宋体" w:cs="宋体"/>
      <w:color w:val="00B0F0"/>
      <w:sz w:val="24"/>
      <w:szCs w:val="24"/>
      <w:u w:val="none"/>
    </w:rPr>
  </w:style>
  <w:style w:type="character" w:customStyle="1" w:styleId="10">
    <w:name w:val="font41"/>
    <w:basedOn w:val="5"/>
    <w:qFormat/>
    <w:uiPriority w:val="0"/>
    <w:rPr>
      <w:rFonts w:hint="eastAsia" w:ascii="宋体" w:hAnsi="宋体" w:eastAsia="宋体" w:cs="宋体"/>
      <w:color w:val="000000"/>
      <w:sz w:val="24"/>
      <w:szCs w:val="24"/>
      <w:u w:val="none"/>
    </w:rPr>
  </w:style>
  <w:style w:type="character" w:customStyle="1" w:styleId="11">
    <w:name w:val="font31"/>
    <w:basedOn w:val="5"/>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3b1be2ca-f1df-42d1-b460-5b823fb930cd}">
  <ds:schemaRefs/>
</ds:datastoreItem>
</file>

<file path=customXml/itemProps2.xml><?xml version="1.0" encoding="utf-8"?>
<ds:datastoreItem xmlns:ds="http://schemas.openxmlformats.org/officeDocument/2006/customXml" ds:itemID="{3c517f46-d4a6-4ed3-b867-7b0e51285943}">
  <ds:schemaRefs/>
</ds:datastoreItem>
</file>

<file path=docProps/app.xml><?xml version="1.0" encoding="utf-8"?>
<Properties xmlns="http://schemas.openxmlformats.org/officeDocument/2006/extended-properties" xmlns:vt="http://schemas.openxmlformats.org/officeDocument/2006/docPropsVTypes">
  <Template>Normal.dotm</Template>
  <Pages>127</Pages>
  <Words>198</Words>
  <Characters>201</Characters>
  <Paragraphs>2747</Paragraphs>
  <TotalTime>0</TotalTime>
  <ScaleCrop>false</ScaleCrop>
  <LinksUpToDate>false</LinksUpToDate>
  <CharactersWithSpaces>210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administrator</dc:creator>
  <cp:lastModifiedBy></cp:lastModifiedBy>
  <dcterms:modified xsi:type="dcterms:W3CDTF">2025-09-16T14:24:40Z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797C70AE493D460A9A82EB8BE4CE7D53_13</vt:lpwstr>
  </property>
  <property fmtid="{D5CDD505-2E9C-101B-9397-08002B2CF9AE}" pid="4" name="KSOTemplateDocerSaveRecord">
    <vt:lpwstr>eyJoZGlkIjoiNTFkNzBlNDg5MWIzYThmZWJlNGQxMTMxN2U5NjkyMWQiLCJ1c2VySWQiOiIyOTI3MDkyNjkifQ==</vt:lpwstr>
  </property>
</Properties>
</file>